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岳阳县</w:t>
      </w:r>
      <w:r>
        <w:rPr>
          <w:rFonts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eastAsia="方正小标宋简体"/>
          <w:bCs/>
          <w:sz w:val="46"/>
          <w:szCs w:val="46"/>
        </w:rPr>
      </w:pPr>
      <w:r>
        <w:rPr>
          <w:rFonts w:hint="eastAsia" w:eastAsia="方正小标宋简体"/>
          <w:bCs/>
          <w:sz w:val="46"/>
          <w:szCs w:val="46"/>
        </w:rPr>
        <w:t>绩效评价自评报告</w:t>
      </w:r>
    </w:p>
    <w:p>
      <w:pPr>
        <w:rPr>
          <w:rFonts w:eastAsia="仿宋_GB2312"/>
          <w:b/>
          <w:sz w:val="32"/>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w:t>
      </w:r>
      <w:r>
        <w:rPr>
          <w:rFonts w:eastAsia="仿宋_GB2312"/>
          <w:sz w:val="32"/>
          <w:szCs w:val="32"/>
        </w:rPr>
        <w:t>(</w:t>
      </w:r>
      <w:r>
        <w:rPr>
          <w:rFonts w:hint="eastAsia" w:eastAsia="仿宋_GB2312"/>
          <w:sz w:val="32"/>
          <w:szCs w:val="32"/>
        </w:rPr>
        <w:t>单位</w:t>
      </w:r>
      <w:r>
        <w:rPr>
          <w:rFonts w:eastAsia="仿宋_GB2312"/>
          <w:sz w:val="32"/>
          <w:szCs w:val="32"/>
        </w:rPr>
        <w:t>)</w:t>
      </w:r>
      <w:r>
        <w:rPr>
          <w:rFonts w:hint="eastAsia" w:eastAsia="仿宋_GB2312"/>
          <w:sz w:val="32"/>
          <w:szCs w:val="32"/>
        </w:rPr>
        <w:t>名称：</w:t>
      </w:r>
      <w:r>
        <w:rPr>
          <w:rFonts w:eastAsia="仿宋_GB2312"/>
          <w:sz w:val="32"/>
          <w:szCs w:val="32"/>
          <w:u w:val="single"/>
        </w:rPr>
        <w:t xml:space="preserve">     </w:t>
      </w:r>
      <w:r>
        <w:rPr>
          <w:rFonts w:hint="eastAsia" w:eastAsia="仿宋_GB2312"/>
          <w:sz w:val="32"/>
          <w:szCs w:val="32"/>
          <w:u w:val="single"/>
          <w:lang w:eastAsia="zh-CN"/>
        </w:rPr>
        <w:t>岳阳县商务粮食局</w:t>
      </w:r>
      <w:r>
        <w:rPr>
          <w:rFonts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eastAsia="仿宋_GB2312"/>
          <w:spacing w:val="30"/>
          <w:sz w:val="32"/>
          <w:szCs w:val="32"/>
        </w:rPr>
        <w:t xml:space="preserve"> </w:t>
      </w:r>
      <w:r>
        <w:rPr>
          <w:rFonts w:hint="eastAsia" w:eastAsia="仿宋_GB2312"/>
          <w:spacing w:val="30"/>
          <w:sz w:val="32"/>
          <w:szCs w:val="32"/>
        </w:rPr>
        <w:t>算</w:t>
      </w:r>
      <w:r>
        <w:rPr>
          <w:rFonts w:eastAsia="仿宋_GB2312"/>
          <w:spacing w:val="30"/>
          <w:sz w:val="32"/>
          <w:szCs w:val="32"/>
        </w:rPr>
        <w:t xml:space="preserve"> </w:t>
      </w:r>
      <w:r>
        <w:rPr>
          <w:rFonts w:hint="eastAsia" w:eastAsia="仿宋_GB2312"/>
          <w:spacing w:val="30"/>
          <w:sz w:val="32"/>
          <w:szCs w:val="32"/>
        </w:rPr>
        <w:t>编</w:t>
      </w:r>
      <w:r>
        <w:rPr>
          <w:rFonts w:eastAsia="仿宋_GB2312"/>
          <w:spacing w:val="30"/>
          <w:sz w:val="32"/>
          <w:szCs w:val="32"/>
        </w:rPr>
        <w:t xml:space="preserve"> </w:t>
      </w:r>
      <w:r>
        <w:rPr>
          <w:rFonts w:hint="eastAsia" w:eastAsia="仿宋_GB2312"/>
          <w:spacing w:val="30"/>
          <w:sz w:val="32"/>
          <w:szCs w:val="32"/>
        </w:rPr>
        <w:t>码：</w:t>
      </w:r>
      <w:r>
        <w:rPr>
          <w:rFonts w:eastAsia="仿宋_GB2312"/>
          <w:spacing w:val="20"/>
          <w:sz w:val="32"/>
          <w:szCs w:val="32"/>
          <w:u w:val="single"/>
        </w:rPr>
        <w:t xml:space="preserve">     </w:t>
      </w:r>
      <w:r>
        <w:rPr>
          <w:rFonts w:hint="eastAsia" w:eastAsia="仿宋_GB2312"/>
          <w:spacing w:val="20"/>
          <w:sz w:val="32"/>
          <w:szCs w:val="32"/>
          <w:u w:val="single"/>
          <w:lang w:val="en-US" w:eastAsia="zh-CN"/>
        </w:rPr>
        <w:t>440001</w:t>
      </w:r>
      <w:r>
        <w:rPr>
          <w:rFonts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评价机构：部门（单位）评价组</w:t>
      </w:r>
      <w:r>
        <w:rPr>
          <w:rFonts w:eastAsia="仿宋_GB2312"/>
          <w:sz w:val="32"/>
          <w:szCs w:val="32"/>
        </w:rPr>
        <w:t xml:space="preserve">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w:t>
      </w:r>
      <w:r>
        <w:rPr>
          <w:rFonts w:eastAsia="仿宋_GB2312"/>
          <w:sz w:val="32"/>
        </w:rPr>
        <w:t xml:space="preserve"> </w:t>
      </w:r>
      <w:r>
        <w:rPr>
          <w:rFonts w:hint="eastAsia" w:eastAsia="仿宋_GB2312"/>
          <w:sz w:val="32"/>
          <w:lang w:val="en-US" w:eastAsia="zh-CN"/>
        </w:rPr>
        <w:t>2022</w:t>
      </w:r>
      <w:r>
        <w:rPr>
          <w:rFonts w:eastAsia="仿宋_GB2312"/>
          <w:sz w:val="32"/>
        </w:rPr>
        <w:t xml:space="preserve">  </w:t>
      </w:r>
      <w:r>
        <w:rPr>
          <w:rFonts w:hint="eastAsia" w:eastAsia="仿宋_GB2312"/>
          <w:sz w:val="32"/>
        </w:rPr>
        <w:t>年</w:t>
      </w:r>
      <w:r>
        <w:rPr>
          <w:rFonts w:eastAsia="仿宋_GB2312"/>
          <w:sz w:val="32"/>
        </w:rPr>
        <w:t xml:space="preserve"> </w:t>
      </w:r>
      <w:r>
        <w:rPr>
          <w:rFonts w:hint="eastAsia" w:eastAsia="仿宋_GB2312"/>
          <w:sz w:val="32"/>
          <w:lang w:val="en-US" w:eastAsia="zh-CN"/>
        </w:rPr>
        <w:t>6</w:t>
      </w:r>
      <w:r>
        <w:rPr>
          <w:rFonts w:eastAsia="仿宋_GB2312"/>
          <w:sz w:val="32"/>
        </w:rPr>
        <w:t xml:space="preserve"> </w:t>
      </w:r>
      <w:r>
        <w:rPr>
          <w:rFonts w:hint="eastAsia" w:eastAsia="仿宋_GB2312"/>
          <w:sz w:val="32"/>
        </w:rPr>
        <w:t>月</w:t>
      </w:r>
      <w:r>
        <w:rPr>
          <w:rFonts w:eastAsia="仿宋_GB2312"/>
          <w:sz w:val="32"/>
        </w:rPr>
        <w:t xml:space="preserve">  </w:t>
      </w:r>
      <w:r>
        <w:rPr>
          <w:rFonts w:hint="eastAsia" w:eastAsia="仿宋_GB2312"/>
          <w:sz w:val="32"/>
          <w:lang w:val="en-US" w:eastAsia="zh-CN"/>
        </w:rPr>
        <w:t>15</w:t>
      </w:r>
      <w:r>
        <w:rPr>
          <w:rFonts w:eastAsia="仿宋_GB2312"/>
          <w:sz w:val="32"/>
        </w:rPr>
        <w:t xml:space="preserve"> </w:t>
      </w:r>
      <w:r>
        <w:rPr>
          <w:rFonts w:hint="eastAsia" w:eastAsia="仿宋_GB2312"/>
          <w:sz w:val="32"/>
        </w:rPr>
        <w:t>日</w:t>
      </w:r>
    </w:p>
    <w:p>
      <w:pPr>
        <w:autoSpaceDN w:val="0"/>
        <w:jc w:val="center"/>
        <w:textAlignment w:val="center"/>
        <w:rPr>
          <w:rFonts w:eastAsia="仿宋_GB2312"/>
          <w:sz w:val="32"/>
          <w:szCs w:val="32"/>
        </w:rPr>
      </w:pPr>
      <w:r>
        <w:rPr>
          <w:rFonts w:hint="eastAsia" w:eastAsia="仿宋_GB2312"/>
          <w:sz w:val="32"/>
        </w:rPr>
        <w:t>岳阳县财政</w:t>
      </w:r>
      <w:r>
        <w:rPr>
          <w:rFonts w:hint="eastAsia" w:eastAsia="仿宋_GB2312"/>
          <w:sz w:val="32"/>
          <w:szCs w:val="32"/>
        </w:rPr>
        <w:t>局（制）</w:t>
      </w:r>
    </w:p>
    <w:p>
      <w:pPr>
        <w:widowControl/>
        <w:jc w:val="left"/>
        <w:rPr>
          <w:rFonts w:eastAsia="仿宋_GB2312"/>
          <w:sz w:val="32"/>
          <w:szCs w:val="32"/>
        </w:rPr>
        <w:sectPr>
          <w:pgSz w:w="11906" w:h="16838"/>
          <w:pgMar w:top="1588" w:right="1588" w:bottom="1588" w:left="1588" w:header="851" w:footer="992" w:gutter="0"/>
          <w:pgNumType w:start="1"/>
          <w:cols w:space="720" w:num="1"/>
          <w:docGrid w:type="linesAndChars" w:linePitch="602" w:charSpace="-782"/>
        </w:sectPr>
      </w:pPr>
    </w:p>
    <w:tbl>
      <w:tblPr>
        <w:tblStyle w:val="4"/>
        <w:tblW w:w="995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78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何荣荣</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07307659019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100</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985"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widowControl/>
              <w:spacing w:line="600" w:lineRule="exact"/>
              <w:ind w:firstLine="560" w:firstLineChars="200"/>
              <w:rPr>
                <w:rFonts w:hint="eastAsia" w:ascii="仿宋" w:hAnsi="仿宋" w:eastAsia="仿宋" w:cs="仿宋"/>
                <w:b w:val="0"/>
                <w:bCs w:val="0"/>
                <w:kern w:val="0"/>
                <w:sz w:val="28"/>
                <w:szCs w:val="28"/>
                <w:lang w:eastAsia="zh-CN"/>
              </w:rPr>
            </w:pPr>
            <w:r>
              <w:rPr>
                <w:rFonts w:hint="eastAsia" w:ascii="仿宋" w:hAnsi="仿宋" w:eastAsia="仿宋" w:cs="仿宋"/>
                <w:color w:val="000000"/>
                <w:sz w:val="28"/>
                <w:szCs w:val="28"/>
              </w:rPr>
              <w:t>贯彻落实国家有关国内外贸易、国际经济合作的发展战略、方针、政策，拟订本县相应的中长期发展规划以及规定、办法和措施；培育发展城乡市场，推进流通产业结构调整和连锁经营、物流配送、电子商务等现代流通方式；拟订全县流通领域市场体系及流通秩序和打破市场垄断、地区封锁的政策，建立健全统一、开放、竞争、有序的市场体系；监测分析市场运行和商品供求状况，负责煤炭、成品油等重要生产资料的市场调控以及国家、省、市有关粮食流通和粮食储备方针、政策和法规，研究提出并组织实施全县粮食宏观调控和总量平衡以及制定全县粮食流通体制改革方案并负责实施。</w:t>
            </w:r>
            <w:r>
              <w:rPr>
                <w:rFonts w:hint="eastAsia" w:ascii="仿宋" w:hAnsi="仿宋" w:eastAsia="仿宋" w:cs="仿宋"/>
                <w:b w:val="0"/>
                <w:bCs w:val="0"/>
                <w:kern w:val="0"/>
                <w:sz w:val="28"/>
                <w:szCs w:val="28"/>
              </w:rPr>
              <w:t>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承担粮食监测预警和应急责任,负责全县粮食流通宏观调控工作,指导协调最低收购价等政策性粮食购销粮</w:t>
            </w:r>
            <w:r>
              <w:rPr>
                <w:rFonts w:hint="eastAsia" w:ascii="仿宋" w:hAnsi="仿宋" w:eastAsia="仿宋" w:cs="仿宋"/>
                <w:b w:val="0"/>
                <w:bCs w:val="0"/>
                <w:kern w:val="0"/>
                <w:sz w:val="28"/>
                <w:szCs w:val="28"/>
                <w:lang w:eastAsia="zh-CN"/>
              </w:rPr>
              <w:t>食</w:t>
            </w:r>
            <w:r>
              <w:rPr>
                <w:rFonts w:hint="eastAsia" w:ascii="仿宋" w:hAnsi="仿宋" w:eastAsia="仿宋" w:cs="仿宋"/>
                <w:b w:val="0"/>
                <w:bCs w:val="0"/>
                <w:kern w:val="0"/>
                <w:sz w:val="28"/>
                <w:szCs w:val="28"/>
              </w:rPr>
              <w:t>产销合作、保障军队粮食供应;编制粮食流通、仓储</w:t>
            </w:r>
            <w:r>
              <w:rPr>
                <w:rFonts w:hint="eastAsia" w:ascii="仿宋" w:hAnsi="仿宋" w:eastAsia="仿宋" w:cs="仿宋"/>
                <w:b w:val="0"/>
                <w:bCs w:val="0"/>
                <w:kern w:val="0"/>
                <w:sz w:val="28"/>
                <w:szCs w:val="28"/>
                <w:lang w:eastAsia="zh-CN"/>
              </w:rPr>
              <w:t>、加</w:t>
            </w:r>
            <w:r>
              <w:rPr>
                <w:rFonts w:hint="eastAsia" w:ascii="仿宋" w:hAnsi="仿宋" w:eastAsia="仿宋" w:cs="仿宋"/>
                <w:b w:val="0"/>
                <w:bCs w:val="0"/>
                <w:kern w:val="0"/>
                <w:sz w:val="28"/>
                <w:szCs w:val="28"/>
              </w:rPr>
              <w:t>工设</w:t>
            </w:r>
            <w:r>
              <w:rPr>
                <w:rFonts w:hint="eastAsia" w:ascii="仿宋" w:hAnsi="仿宋" w:eastAsia="仿宋" w:cs="仿宋"/>
                <w:b w:val="0"/>
                <w:bCs w:val="0"/>
                <w:kern w:val="0"/>
                <w:sz w:val="28"/>
                <w:szCs w:val="28"/>
                <w:lang w:eastAsia="zh-CN"/>
              </w:rPr>
              <w:t>施</w:t>
            </w:r>
            <w:r>
              <w:rPr>
                <w:rFonts w:hint="eastAsia" w:ascii="仿宋" w:hAnsi="仿宋" w:eastAsia="仿宋" w:cs="仿宋"/>
                <w:b w:val="0"/>
                <w:bCs w:val="0"/>
                <w:kern w:val="0"/>
                <w:sz w:val="28"/>
                <w:szCs w:val="28"/>
              </w:rPr>
              <w:t>建设规划</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管理有关粮食流通设施投资项目</w:t>
            </w:r>
            <w:r>
              <w:rPr>
                <w:rFonts w:hint="eastAsia" w:ascii="仿宋" w:hAnsi="仿宋" w:eastAsia="仿宋" w:cs="仿宋"/>
                <w:b w:val="0"/>
                <w:bCs w:val="0"/>
                <w:kern w:val="0"/>
                <w:sz w:val="28"/>
                <w:szCs w:val="28"/>
                <w:lang w:eastAsia="zh-CN"/>
              </w:rPr>
              <w:t>。</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219"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任务1：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任务2：</w:t>
            </w:r>
            <w:r>
              <w:rPr>
                <w:rFonts w:hint="eastAsia" w:ascii="仿宋_GB2312" w:hAnsi="仿宋_GB2312" w:eastAsia="仿宋_GB2312" w:cs="仿宋_GB2312"/>
                <w:color w:val="000000"/>
                <w:sz w:val="24"/>
                <w:lang w:eastAsia="zh-CN"/>
              </w:rPr>
              <w:t>社会效益、经济效益、生态效益和社会公众满意度达到预期目标。</w:t>
            </w:r>
          </w:p>
          <w:p>
            <w:pPr>
              <w:keepNext w:val="0"/>
              <w:keepLines w:val="0"/>
              <w:pageBreakBefore w:val="0"/>
              <w:widowControl w:val="0"/>
              <w:kinsoku/>
              <w:wordWrap/>
              <w:overflowPunct/>
              <w:topLinePunct w:val="0"/>
              <w:autoSpaceDE/>
              <w:autoSpaceDN/>
              <w:bidi w:val="0"/>
              <w:adjustRightInd/>
              <w:snapToGrid/>
              <w:spacing w:line="576" w:lineRule="exact"/>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000000"/>
                <w:sz w:val="24"/>
                <w:szCs w:val="24"/>
              </w:rPr>
              <w:t>任务3：</w:t>
            </w:r>
            <w:r>
              <w:rPr>
                <w:rFonts w:hint="eastAsia" w:ascii="仿宋_GB2312" w:hAnsi="仿宋_GB2312" w:eastAsia="仿宋_GB2312" w:cs="仿宋_GB2312"/>
                <w:color w:val="auto"/>
                <w:sz w:val="24"/>
                <w:szCs w:val="24"/>
                <w:lang w:eastAsia="zh-CN"/>
              </w:rPr>
              <w:t>完成社会消费口零售总额</w:t>
            </w:r>
            <w:r>
              <w:rPr>
                <w:rFonts w:hint="eastAsia" w:ascii="仿宋_GB2312" w:hAnsi="仿宋_GB2312" w:eastAsia="仿宋_GB2312" w:cs="仿宋_GB2312"/>
                <w:color w:val="auto"/>
                <w:sz w:val="24"/>
                <w:szCs w:val="24"/>
                <w:lang w:val="en-US" w:eastAsia="zh-CN"/>
              </w:rPr>
              <w:t>152.91</w:t>
            </w:r>
            <w:r>
              <w:rPr>
                <w:rFonts w:hint="eastAsia" w:ascii="仿宋_GB2312" w:hAnsi="仿宋_GB2312" w:eastAsia="仿宋_GB2312" w:cs="仿宋_GB2312"/>
                <w:color w:val="auto"/>
                <w:sz w:val="24"/>
                <w:szCs w:val="24"/>
              </w:rPr>
              <w:t>亿元</w:t>
            </w:r>
            <w:r>
              <w:rPr>
                <w:rFonts w:hint="eastAsia" w:ascii="仿宋_GB2312" w:hAnsi="仿宋_GB2312" w:eastAsia="仿宋_GB2312" w:cs="仿宋_GB2312"/>
                <w:color w:val="auto"/>
                <w:sz w:val="24"/>
                <w:szCs w:val="24"/>
                <w:lang w:eastAsia="zh-CN"/>
              </w:rPr>
              <w:t>，</w:t>
            </w:r>
            <w:r>
              <w:rPr>
                <w:rFonts w:hint="eastAsia" w:ascii="仿宋_GB2312" w:hAnsi="仿宋_GB2312" w:eastAsia="仿宋_GB2312" w:cs="仿宋_GB2312"/>
                <w:color w:val="auto"/>
                <w:sz w:val="24"/>
                <w:szCs w:val="24"/>
              </w:rPr>
              <w:t>全市六县市排名第二。</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sz w:val="24"/>
                <w:lang w:eastAsia="zh-CN"/>
              </w:rPr>
              <w:t>任务</w:t>
            </w:r>
            <w:r>
              <w:rPr>
                <w:rFonts w:hint="eastAsia" w:ascii="仿宋_GB2312" w:hAnsi="仿宋_GB2312" w:eastAsia="仿宋_GB2312" w:cs="仿宋_GB2312"/>
                <w:color w:val="auto"/>
                <w:sz w:val="24"/>
                <w:lang w:val="en-US" w:eastAsia="zh-CN"/>
              </w:rPr>
              <w:t>4：完成省级储备粮轮换早籼稻7386吨，县级储备粮轮换早籼稻5500吨。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301" w:type="dxa"/>
            <w:gridSpan w:val="1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numPr>
                <w:ilvl w:val="0"/>
                <w:numId w:val="1"/>
              </w:numPr>
              <w:autoSpaceDN w:val="0"/>
              <w:spacing w:line="400" w:lineRule="exact"/>
              <w:jc w:val="left"/>
              <w:textAlignment w:val="center"/>
              <w:rPr>
                <w:rFonts w:hint="eastAsia" w:ascii="仿宋_GB2312" w:hAnsi="仿宋_GB2312" w:eastAsia="仿宋_GB2312" w:cs="仿宋_GB2312"/>
                <w:color w:val="000000" w:themeColor="text1"/>
                <w:sz w:val="24"/>
                <w:szCs w:val="24"/>
                <w:lang w:val="en-US" w:eastAsia="zh-CN"/>
                <w14:textFill>
                  <w14:solidFill>
                    <w14:schemeClr w14:val="tx1"/>
                  </w14:solidFill>
                </w14:textFill>
              </w:rPr>
            </w:pPr>
            <w:r>
              <w:rPr>
                <w:rFonts w:hint="eastAsia" w:ascii="仿宋_GB2312" w:hAnsi="仿宋_GB2312" w:eastAsia="仿宋_GB2312" w:cs="仿宋_GB2312"/>
                <w:color w:val="000000" w:themeColor="text1"/>
                <w:sz w:val="24"/>
                <w:szCs w:val="24"/>
                <w:lang w:val="en-US" w:eastAsia="zh-CN"/>
                <w14:textFill>
                  <w14:solidFill>
                    <w14:schemeClr w14:val="tx1"/>
                  </w14:solidFill>
                </w14:textFill>
              </w:rPr>
              <w:t>单位全年平稳运行，资金使用安全，收支平衡。</w:t>
            </w:r>
          </w:p>
          <w:p>
            <w:pPr>
              <w:numPr>
                <w:ilvl w:val="0"/>
                <w:numId w:val="1"/>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电子商务进农村综合示范项目被县委、县政府评为争取国家重点投入的优秀项目。</w:t>
            </w:r>
          </w:p>
          <w:p>
            <w:pPr>
              <w:numPr>
                <w:ilvl w:val="0"/>
                <w:numId w:val="1"/>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兴荣智慧农贸市场项目被县委、县政府评为重点项目三等奖。</w:t>
            </w:r>
          </w:p>
          <w:p>
            <w:pPr>
              <w:numPr>
                <w:ilvl w:val="0"/>
                <w:numId w:val="1"/>
              </w:numPr>
              <w:autoSpaceDN w:val="0"/>
              <w:spacing w:line="400" w:lineRule="exact"/>
              <w:jc w:val="left"/>
              <w:textAlignment w:val="center"/>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按照2021年国家粮食轮换政策，完成省级储备粮轮换7386吨和县级储备粮轮换5500吨，确保国家粮食库存安全。</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1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72"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3386.74</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686.22</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2461.79</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238.73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2779.93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674.34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1965.92</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139.67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606.81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11.88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495.87</w:t>
            </w: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99.06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705"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235"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top w:val="single" w:color="000000" w:sz="4" w:space="0"/>
              <w:left w:val="single" w:color="auto" w:sz="4" w:space="0"/>
              <w:bottom w:val="single" w:color="auto"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500" w:type="dxa"/>
            <w:gridSpan w:val="4"/>
            <w:tcBorders>
              <w:top w:val="single" w:color="000000" w:sz="4" w:space="0"/>
              <w:left w:val="single" w:color="auto" w:sz="4" w:space="0"/>
              <w:bottom w:val="single" w:color="auto"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780" w:type="dxa"/>
            <w:vMerge w:val="restart"/>
            <w:tcBorders>
              <w:top w:val="single" w:color="auto"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top w:val="single" w:color="auto"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20" w:type="dxa"/>
            <w:gridSpan w:val="3"/>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780" w:type="dxa"/>
            <w:vMerge w:val="continue"/>
            <w:tcBorders>
              <w:top w:val="single" w:color="auto"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77"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3225.21</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1958.14</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1546.03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412.11</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1267.07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161.53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2619.63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1352.56</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1034.70</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317.86</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1267.07</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160.30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605.58</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605.58</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511.33</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94.25</w:t>
            </w: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80" w:type="dxa"/>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175" w:type="dxa"/>
            <w:gridSpan w:val="13"/>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8"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0.23</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0.23</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160"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58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top w:val="single" w:color="000000" w:sz="4" w:space="0"/>
              <w:left w:val="single" w:color="auto"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96" w:type="dxa"/>
            <w:gridSpan w:val="2"/>
            <w:vMerge w:val="restart"/>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sz w:val="24"/>
              </w:rPr>
            </w:pPr>
          </w:p>
        </w:tc>
        <w:tc>
          <w:tcPr>
            <w:tcW w:w="1080" w:type="dxa"/>
            <w:vMerge w:val="continue"/>
            <w:tcBorders>
              <w:top w:val="single" w:color="000000" w:sz="4" w:space="0"/>
              <w:left w:val="single" w:color="000000" w:sz="4" w:space="0"/>
              <w:bottom w:val="single" w:color="000000" w:sz="4" w:space="0"/>
              <w:right w:val="single" w:color="auto" w:sz="4" w:space="0"/>
            </w:tcBorders>
            <w:vAlign w:val="center"/>
          </w:tcPr>
          <w:p>
            <w:pPr>
              <w:widowControl/>
              <w:jc w:val="left"/>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1096" w:type="dxa"/>
            <w:gridSpan w:val="2"/>
            <w:vMerge w:val="continue"/>
            <w:tcBorders>
              <w:top w:val="single" w:color="000000" w:sz="4" w:space="0"/>
              <w:left w:val="single" w:color="auto"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color w:val="000000"/>
                <w:sz w:val="24"/>
              </w:rPr>
              <w:t>局机关及二级机构汇总</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733.44</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733.44</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1、局机关</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488.57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488.57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_GB2312" w:hAnsi="仿宋_GB2312" w:eastAsia="仿宋_GB2312" w:cs="仿宋_GB2312"/>
                <w:color w:val="000000" w:themeColor="text1"/>
                <w:sz w:val="24"/>
                <w:lang w:val="en-US" w:eastAsia="zh-CN"/>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244.87</w:t>
            </w: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themeColor="text1"/>
                <w:sz w:val="24"/>
                <w:lang w:val="en-US"/>
                <w14:textFill>
                  <w14:solidFill>
                    <w14:schemeClr w14:val="tx1"/>
                  </w14:solidFill>
                </w14:textFill>
              </w:rPr>
            </w:pPr>
            <w:r>
              <w:rPr>
                <w:rFonts w:hint="eastAsia" w:ascii="仿宋_GB2312" w:hAnsi="仿宋_GB2312" w:eastAsia="仿宋_GB2312" w:cs="仿宋_GB2312"/>
                <w:color w:val="000000" w:themeColor="text1"/>
                <w:sz w:val="24"/>
                <w:lang w:val="en-US" w:eastAsia="zh-CN"/>
                <w14:textFill>
                  <w14:solidFill>
                    <w14:schemeClr w14:val="tx1"/>
                  </w14:solidFill>
                </w14:textFill>
              </w:rPr>
              <w:t>244.87</w:t>
            </w: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24" w:hRule="atLeast"/>
          <w:jc w:val="center"/>
        </w:trPr>
        <w:tc>
          <w:tcPr>
            <w:tcW w:w="1700" w:type="dxa"/>
            <w:gridSpan w:val="3"/>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spacing w:line="320" w:lineRule="exact"/>
              <w:jc w:val="left"/>
              <w:rPr>
                <w:rFonts w:ascii="仿宋_GB2312" w:hAnsi="仿宋_GB2312" w:eastAsia="仿宋_GB2312" w:cs="仿宋_GB2312"/>
                <w:sz w:val="24"/>
              </w:rPr>
            </w:pPr>
          </w:p>
        </w:tc>
        <w:tc>
          <w:tcPr>
            <w:tcW w:w="1080" w:type="dxa"/>
            <w:tcBorders>
              <w:top w:val="single" w:color="000000" w:sz="4" w:space="0"/>
              <w:left w:val="single" w:color="000000" w:sz="4" w:space="0"/>
              <w:bottom w:val="single" w:color="000000" w:sz="4" w:space="0"/>
              <w:right w:val="single" w:color="auto"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top w:val="single" w:color="000000" w:sz="4" w:space="0"/>
              <w:left w:val="single" w:color="auto"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64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96"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691"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7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3774" w:type="dxa"/>
            <w:gridSpan w:val="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auto"/>
                <w:sz w:val="24"/>
                <w:lang w:eastAsia="zh-CN"/>
              </w:rPr>
              <w:t>完成社会消费品零售总额</w:t>
            </w:r>
            <w:r>
              <w:rPr>
                <w:rFonts w:hint="eastAsia" w:ascii="仿宋_GB2312" w:hAnsi="仿宋_GB2312" w:eastAsia="仿宋_GB2312" w:cs="仿宋_GB2312"/>
                <w:color w:val="auto"/>
                <w:sz w:val="24"/>
                <w:lang w:val="en-US" w:eastAsia="zh-CN"/>
              </w:rPr>
              <w:t>148.08亿元，比去年同期增速10%。</w:t>
            </w:r>
          </w:p>
          <w:p>
            <w:pPr>
              <w:autoSpaceDN w:val="0"/>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目标4：完成省级储备粮轮换早籼稻7386吨，县级储备粮轮换早籼稻5500吨。</w:t>
            </w:r>
          </w:p>
          <w:p>
            <w:pPr>
              <w:autoSpaceDN w:val="0"/>
              <w:spacing w:line="320" w:lineRule="exact"/>
              <w:jc w:val="left"/>
              <w:textAlignment w:val="center"/>
              <w:rPr>
                <w:rFonts w:ascii="仿宋_GB2312" w:hAnsi="仿宋_GB2312" w:eastAsia="仿宋_GB2312" w:cs="仿宋_GB2312"/>
                <w:color w:val="000000"/>
                <w:sz w:val="24"/>
              </w:rPr>
            </w:pPr>
          </w:p>
        </w:tc>
        <w:tc>
          <w:tcPr>
            <w:tcW w:w="4740" w:type="dxa"/>
            <w:gridSpan w:val="9"/>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eastAsia="zh-CN"/>
              </w:rPr>
              <w:t>全年预算申请到位和下达数量在</w:t>
            </w:r>
            <w:r>
              <w:rPr>
                <w:rFonts w:hint="eastAsia" w:ascii="仿宋_GB2312" w:hAnsi="仿宋_GB2312" w:eastAsia="仿宋_GB2312" w:cs="仿宋_GB2312"/>
                <w:color w:val="000000"/>
                <w:sz w:val="24"/>
                <w:lang w:val="en-US" w:eastAsia="zh-CN"/>
              </w:rPr>
              <w:t>95%以上，三公经费变动率</w:t>
            </w:r>
            <w:r>
              <w:rPr>
                <w:rFonts w:hint="default" w:ascii="Arial" w:hAnsi="Arial" w:eastAsia="仿宋_GB2312" w:cs="Arial"/>
                <w:color w:val="000000"/>
                <w:sz w:val="24"/>
                <w:lang w:val="en-US" w:eastAsia="zh-CN"/>
              </w:rPr>
              <w:t>≤</w:t>
            </w:r>
            <w:r>
              <w:rPr>
                <w:rFonts w:hint="eastAsia" w:ascii="仿宋_GB2312" w:hAnsi="仿宋_GB2312" w:eastAsia="仿宋_GB2312" w:cs="仿宋_GB2312"/>
                <w:color w:val="000000"/>
                <w:sz w:val="24"/>
                <w:lang w:val="en-US" w:eastAsia="zh-CN"/>
              </w:rPr>
              <w:t>0。</w:t>
            </w:r>
          </w:p>
          <w:p>
            <w:pPr>
              <w:autoSpaceDN w:val="0"/>
              <w:spacing w:line="400" w:lineRule="exact"/>
              <w:jc w:val="left"/>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eastAsia="zh-CN"/>
              </w:rPr>
              <w:t>社会效益、经济效益、生态效益和社会公众满意度达到预期目标。</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auto"/>
                <w:sz w:val="24"/>
                <w:lang w:eastAsia="zh-CN"/>
              </w:rPr>
              <w:t>完成社会消费品零售总额</w:t>
            </w:r>
            <w:r>
              <w:rPr>
                <w:rFonts w:hint="eastAsia" w:ascii="仿宋_GB2312" w:hAnsi="仿宋_GB2312" w:eastAsia="仿宋_GB2312" w:cs="仿宋_GB2312"/>
                <w:color w:val="auto"/>
                <w:sz w:val="24"/>
                <w:lang w:val="en-US" w:eastAsia="zh-CN"/>
              </w:rPr>
              <w:t>152.91亿元，</w:t>
            </w:r>
            <w:r>
              <w:rPr>
                <w:rFonts w:hint="eastAsia" w:ascii="仿宋_GB2312" w:hAnsi="仿宋_GB2312" w:eastAsia="仿宋_GB2312" w:cs="仿宋_GB2312"/>
                <w:color w:val="auto"/>
                <w:sz w:val="24"/>
                <w:szCs w:val="24"/>
              </w:rPr>
              <w:t>全市六县市排名第二</w:t>
            </w:r>
            <w:r>
              <w:rPr>
                <w:rFonts w:hint="eastAsia" w:ascii="仿宋_GB2312" w:hAnsi="仿宋_GB2312" w:eastAsia="仿宋_GB2312" w:cs="仿宋_GB2312"/>
                <w:color w:val="auto"/>
                <w:sz w:val="24"/>
                <w:lang w:val="en-US" w:eastAsia="zh-CN"/>
              </w:rPr>
              <w:t>。</w:t>
            </w:r>
          </w:p>
          <w:p>
            <w:pPr>
              <w:autoSpaceDN w:val="0"/>
              <w:spacing w:line="400" w:lineRule="exact"/>
              <w:jc w:val="left"/>
              <w:textAlignment w:val="center"/>
              <w:rPr>
                <w:rFonts w:hint="eastAsia"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目标4：完成省级储备粮轮换早籼稻7386吨，县级储备粮轮换早籼稻5500吨。</w:t>
            </w:r>
          </w:p>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41" w:type="dxa"/>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质量指标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三公经费控制率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政府采购执行率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3：固定资产利用率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4：公务卡刷卡率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数量指标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财政供养人员控制率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eastAsia="zh-CN"/>
              </w:rPr>
              <w:t>“三公经费”变动率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w:t>
            </w:r>
            <w:r>
              <w:rPr>
                <w:rFonts w:hint="eastAsia" w:ascii="仿宋" w:hAnsi="仿宋" w:eastAsia="仿宋" w:cs="仿宋"/>
                <w:b w:val="0"/>
                <w:bCs w:val="0"/>
                <w:color w:val="000000"/>
                <w:sz w:val="24"/>
                <w:szCs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3：省级储备粮轮换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完成轮换早籼稻</w:t>
            </w:r>
            <w:r>
              <w:rPr>
                <w:rFonts w:hint="eastAsia" w:ascii="仿宋" w:hAnsi="仿宋" w:eastAsia="仿宋" w:cs="仿宋"/>
                <w:b w:val="0"/>
                <w:bCs w:val="0"/>
                <w:color w:val="auto"/>
                <w:sz w:val="24"/>
                <w:szCs w:val="24"/>
                <w:lang w:val="en-US" w:eastAsia="zh-CN"/>
              </w:rPr>
              <w:t>7386吨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4：县级储备粮轮换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eastAsia="zh-CN"/>
              </w:rPr>
              <w:t>完成轮换早籼稻</w:t>
            </w:r>
            <w:r>
              <w:rPr>
                <w:rFonts w:hint="eastAsia" w:ascii="仿宋" w:hAnsi="仿宋" w:eastAsia="仿宋" w:cs="仿宋"/>
                <w:b w:val="0"/>
                <w:bCs w:val="0"/>
                <w:color w:val="auto"/>
                <w:sz w:val="24"/>
                <w:szCs w:val="24"/>
                <w:lang w:val="en-US" w:eastAsia="zh-CN"/>
              </w:rPr>
              <w:t>5500吨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1"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eastAsia="zh-CN"/>
              </w:rPr>
              <w:t>指标</w:t>
            </w:r>
            <w:r>
              <w:rPr>
                <w:rFonts w:hint="eastAsia" w:ascii="仿宋" w:hAnsi="仿宋" w:eastAsia="仿宋" w:cs="仿宋"/>
                <w:b w:val="0"/>
                <w:bCs w:val="0"/>
                <w:color w:val="000000"/>
                <w:sz w:val="24"/>
                <w:szCs w:val="24"/>
                <w:lang w:val="en-US" w:eastAsia="zh-CN"/>
              </w:rPr>
              <w:t>5：社会消费品零售总额</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eastAsia="zh-CN"/>
              </w:rPr>
              <w:t>完成</w:t>
            </w:r>
            <w:r>
              <w:rPr>
                <w:rFonts w:hint="eastAsia" w:ascii="仿宋" w:hAnsi="仿宋" w:eastAsia="仿宋" w:cs="仿宋"/>
                <w:b w:val="0"/>
                <w:bCs w:val="0"/>
                <w:color w:val="auto"/>
                <w:sz w:val="24"/>
                <w:szCs w:val="24"/>
                <w:lang w:val="en-US" w:eastAsia="zh-CN"/>
              </w:rPr>
              <w:t>152.91亿元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时效指标</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val="en-US" w:eastAsia="zh-CN"/>
              </w:rPr>
              <w:t>省级储备粮轮换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lang w:val="en-US" w:eastAsia="zh-CN"/>
              </w:rPr>
            </w:pPr>
            <w:r>
              <w:rPr>
                <w:rFonts w:hint="eastAsia" w:ascii="仿宋" w:hAnsi="仿宋" w:eastAsia="仿宋" w:cs="仿宋"/>
                <w:b w:val="0"/>
                <w:bCs w:val="0"/>
                <w:color w:val="auto"/>
                <w:sz w:val="24"/>
                <w:szCs w:val="24"/>
                <w:lang w:val="en-US" w:eastAsia="zh-CN"/>
              </w:rPr>
              <w:t>9月底已完成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38"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hint="eastAsia" w:ascii="仿宋" w:hAnsi="仿宋" w:eastAsia="仿宋" w:cs="仿宋"/>
                <w:b w:val="0"/>
                <w:bCs w:val="0"/>
                <w:color w:val="000000"/>
                <w:sz w:val="24"/>
                <w:szCs w:val="24"/>
              </w:rPr>
            </w:pP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指标2：</w:t>
            </w:r>
            <w:r>
              <w:rPr>
                <w:rFonts w:hint="eastAsia" w:ascii="仿宋" w:hAnsi="仿宋" w:eastAsia="仿宋" w:cs="仿宋"/>
                <w:b w:val="0"/>
                <w:bCs w:val="0"/>
                <w:color w:val="000000"/>
                <w:sz w:val="24"/>
                <w:szCs w:val="24"/>
                <w:lang w:val="en-US" w:eastAsia="zh-CN"/>
              </w:rPr>
              <w:t>县级储备粮轮换</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auto"/>
                <w:sz w:val="24"/>
                <w:szCs w:val="24"/>
              </w:rPr>
            </w:pPr>
            <w:r>
              <w:rPr>
                <w:rFonts w:hint="eastAsia" w:ascii="仿宋" w:hAnsi="仿宋" w:eastAsia="仿宋" w:cs="仿宋"/>
                <w:b w:val="0"/>
                <w:bCs w:val="0"/>
                <w:color w:val="auto"/>
                <w:sz w:val="24"/>
                <w:szCs w:val="24"/>
                <w:lang w:val="en-US" w:eastAsia="zh-CN"/>
              </w:rPr>
              <w:t>9月底已完成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022"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成本指标</w:t>
            </w:r>
          </w:p>
        </w:tc>
        <w:tc>
          <w:tcPr>
            <w:tcW w:w="2709" w:type="dxa"/>
            <w:gridSpan w:val="4"/>
            <w:tcBorders>
              <w:top w:val="single" w:color="000000" w:sz="4" w:space="0"/>
              <w:left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部门整体支出绩效目标</w:t>
            </w: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FF0000"/>
                <w:sz w:val="24"/>
                <w:szCs w:val="24"/>
                <w:lang w:eastAsia="zh-CN"/>
              </w:rPr>
            </w:pPr>
            <w:r>
              <w:rPr>
                <w:rFonts w:hint="eastAsia" w:ascii="仿宋" w:hAnsi="仿宋" w:eastAsia="仿宋" w:cs="仿宋"/>
                <w:b w:val="0"/>
                <w:bCs w:val="0"/>
                <w:color w:val="000000" w:themeColor="text1"/>
                <w:sz w:val="24"/>
                <w:szCs w:val="24"/>
                <w:lang w:val="en-US" w:eastAsia="zh-CN"/>
                <w14:textFill>
                  <w14:solidFill>
                    <w14:schemeClr w14:val="tx1"/>
                  </w14:solidFill>
                </w14:textFill>
              </w:rPr>
              <w:t>3225.21</w:t>
            </w:r>
            <w:r>
              <w:rPr>
                <w:rFonts w:hint="eastAsia" w:ascii="仿宋" w:hAnsi="仿宋" w:eastAsia="仿宋" w:cs="仿宋"/>
                <w:b w:val="0"/>
                <w:bCs w:val="0"/>
                <w:color w:val="000000" w:themeColor="text1"/>
                <w:sz w:val="24"/>
                <w:szCs w:val="24"/>
                <w:lang w:eastAsia="zh-CN"/>
                <w14:textFill>
                  <w14:solidFill>
                    <w14:schemeClr w14:val="tx1"/>
                  </w14:solidFill>
                </w14:textFill>
              </w:rPr>
              <w:t>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25"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restart"/>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指标1：执行国家最低价粮食收购政策，敞开收购，保护农民利益，使农民增产增收</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经济效益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指标1：“洞庭湖”大米品牌创造的经济效益</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生态效益</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指标1：储粮工艺优化，节能减排增效降耗</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lang w:eastAsia="zh-CN"/>
              </w:rPr>
              <w:t>效益明显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1441"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549" w:type="dxa"/>
            <w:gridSpan w:val="4"/>
            <w:vMerge w:val="continue"/>
            <w:tcBorders>
              <w:top w:val="single" w:color="000000" w:sz="4" w:space="0"/>
              <w:left w:val="single" w:color="000000" w:sz="4" w:space="0"/>
              <w:bottom w:val="single" w:color="000000" w:sz="4" w:space="0"/>
              <w:right w:val="single" w:color="000000" w:sz="4" w:space="0"/>
            </w:tcBorders>
            <w:vAlign w:val="center"/>
          </w:tcPr>
          <w:p>
            <w:pPr>
              <w:widowControl/>
              <w:jc w:val="left"/>
              <w:rPr>
                <w:rFonts w:ascii="仿宋_GB2312" w:hAnsi="仿宋_GB2312" w:eastAsia="仿宋_GB2312" w:cs="仿宋_GB2312"/>
                <w:color w:val="000000"/>
                <w:sz w:val="24"/>
              </w:rPr>
            </w:pPr>
          </w:p>
        </w:tc>
        <w:tc>
          <w:tcPr>
            <w:tcW w:w="1417"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rPr>
            </w:pPr>
            <w:r>
              <w:rPr>
                <w:rFonts w:hint="eastAsia" w:ascii="仿宋" w:hAnsi="仿宋" w:eastAsia="仿宋" w:cs="仿宋"/>
                <w:b w:val="0"/>
                <w:bCs w:val="0"/>
                <w:color w:val="000000"/>
                <w:sz w:val="24"/>
                <w:szCs w:val="24"/>
              </w:rPr>
              <w:t>社会公众或服务对象满意度</w:t>
            </w:r>
          </w:p>
        </w:tc>
        <w:tc>
          <w:tcPr>
            <w:tcW w:w="2709" w:type="dxa"/>
            <w:gridSpan w:val="4"/>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rPr>
              <w:t>指标1：</w:t>
            </w:r>
            <w:r>
              <w:rPr>
                <w:rFonts w:hint="eastAsia" w:ascii="仿宋" w:hAnsi="仿宋" w:eastAsia="仿宋" w:cs="仿宋"/>
                <w:b w:val="0"/>
                <w:bCs w:val="0"/>
                <w:color w:val="000000"/>
                <w:sz w:val="24"/>
                <w:szCs w:val="24"/>
                <w:lang w:eastAsia="zh-CN"/>
              </w:rPr>
              <w:t>社会公众满意度</w:t>
            </w:r>
          </w:p>
          <w:p>
            <w:pPr>
              <w:autoSpaceDN w:val="0"/>
              <w:spacing w:line="320" w:lineRule="exact"/>
              <w:jc w:val="left"/>
              <w:textAlignment w:val="center"/>
              <w:rPr>
                <w:rFonts w:hint="eastAsia" w:ascii="仿宋" w:hAnsi="仿宋" w:eastAsia="仿宋" w:cs="仿宋"/>
                <w:b w:val="0"/>
                <w:bCs w:val="0"/>
                <w:color w:val="000000"/>
                <w:sz w:val="24"/>
                <w:szCs w:val="24"/>
              </w:rPr>
            </w:pPr>
          </w:p>
        </w:tc>
        <w:tc>
          <w:tcPr>
            <w:tcW w:w="2839"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95%以上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val="en-US" w:eastAsia="zh-CN"/>
              </w:rPr>
            </w:pPr>
            <w:r>
              <w:rPr>
                <w:rFonts w:hint="eastAsia" w:ascii="仿宋" w:hAnsi="仿宋" w:eastAsia="仿宋" w:cs="仿宋"/>
                <w:b w:val="0"/>
                <w:bCs w:val="0"/>
                <w:color w:val="000000"/>
                <w:sz w:val="24"/>
                <w:szCs w:val="24"/>
                <w:lang w:val="en-US" w:eastAsia="zh-CN"/>
              </w:rPr>
              <w:t>99分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2990" w:type="dxa"/>
            <w:gridSpan w:val="5"/>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965" w:type="dxa"/>
            <w:gridSpan w:val="1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hint="eastAsia" w:ascii="仿宋" w:hAnsi="仿宋" w:eastAsia="仿宋" w:cs="仿宋"/>
                <w:b w:val="0"/>
                <w:bCs w:val="0"/>
                <w:color w:val="000000"/>
                <w:sz w:val="24"/>
                <w:szCs w:val="24"/>
                <w:lang w:eastAsia="zh-CN"/>
              </w:rPr>
            </w:pPr>
            <w:r>
              <w:rPr>
                <w:rFonts w:hint="eastAsia" w:ascii="仿宋" w:hAnsi="仿宋" w:eastAsia="仿宋" w:cs="仿宋"/>
                <w:b w:val="0"/>
                <w:bCs w:val="0"/>
                <w:color w:val="000000"/>
                <w:sz w:val="24"/>
                <w:szCs w:val="24"/>
                <w:lang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喻新亚</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付六生</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副局长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鲁小黄</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副局长</w:t>
            </w:r>
            <w:r>
              <w:rPr>
                <w:rFonts w:hint="eastAsia" w:ascii="仿宋_GB2312" w:hAnsi="仿宋_GB2312" w:eastAsia="仿宋_GB2312" w:cs="仿宋_GB2312"/>
                <w:color w:val="000000"/>
                <w:sz w:val="24"/>
                <w:lang w:val="en-US" w:eastAsia="zh-CN"/>
              </w:rPr>
              <w:t xml:space="preserve"> </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许贵辉</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财务股长</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80" w:hRule="atLeast"/>
          <w:jc w:val="center"/>
        </w:trPr>
        <w:tc>
          <w:tcPr>
            <w:tcW w:w="1654" w:type="dxa"/>
            <w:gridSpan w:val="2"/>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冯桂</w:t>
            </w:r>
          </w:p>
        </w:tc>
        <w:tc>
          <w:tcPr>
            <w:tcW w:w="3561" w:type="dxa"/>
            <w:gridSpan w:val="6"/>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eastAsia="zh-CN"/>
              </w:rPr>
              <w:t>办公室主任兼机关党委纪检委员</w:t>
            </w:r>
          </w:p>
        </w:tc>
        <w:tc>
          <w:tcPr>
            <w:tcW w:w="1479" w:type="dxa"/>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40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lang w:eastAsia="zh-CN"/>
              </w:rPr>
              <w:t>商务粮食局</w:t>
            </w:r>
          </w:p>
        </w:tc>
        <w:tc>
          <w:tcPr>
            <w:tcW w:w="3261" w:type="dxa"/>
            <w:gridSpan w:val="8"/>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664"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69" w:hRule="atLeast"/>
          <w:jc w:val="center"/>
        </w:trPr>
        <w:tc>
          <w:tcPr>
            <w:tcW w:w="9955" w:type="dxa"/>
            <w:gridSpan w:val="17"/>
            <w:tcBorders>
              <w:top w:val="single" w:color="000000" w:sz="4" w:space="0"/>
              <w:left w:val="single" w:color="000000" w:sz="4" w:space="0"/>
              <w:bottom w:val="single" w:color="000000" w:sz="4" w:space="0"/>
              <w:right w:val="single" w:color="000000" w:sz="4" w:space="0"/>
            </w:tcBorders>
            <w:tcMar>
              <w:top w:w="0" w:type="dxa"/>
              <w:left w:w="15" w:type="dxa"/>
              <w:bottom w:w="0" w:type="dxa"/>
              <w:right w:w="15" w:type="dxa"/>
            </w:tcMar>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eastAsia="zh-CN"/>
              </w:rPr>
              <w:t>同意以上自评意见</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bl>
    <w:p>
      <w:pPr>
        <w:rPr>
          <w:rFonts w:hint="eastAsia" w:eastAsia="仿宋_GB2312" w:cs="仿宋_GB2312"/>
          <w:bCs/>
          <w:sz w:val="28"/>
          <w:szCs w:val="28"/>
          <w:lang w:val="en-US" w:eastAsia="zh-CN"/>
        </w:rPr>
      </w:pPr>
      <w:r>
        <w:rPr>
          <w:rFonts w:hint="eastAsia" w:eastAsia="仿宋_GB2312" w:cs="仿宋_GB2312"/>
          <w:bCs/>
          <w:sz w:val="28"/>
          <w:szCs w:val="28"/>
        </w:rPr>
        <w:t>填报人（签名）：</w:t>
      </w:r>
      <w:r>
        <w:rPr>
          <w:rFonts w:eastAsia="仿宋_GB2312" w:cs="仿宋_GB2312"/>
          <w:bCs/>
          <w:sz w:val="28"/>
          <w:szCs w:val="28"/>
        </w:rPr>
        <w:t xml:space="preserve"> </w:t>
      </w:r>
      <w:r>
        <w:rPr>
          <w:rFonts w:hint="eastAsia" w:eastAsia="仿宋_GB2312" w:cs="仿宋_GB2312"/>
          <w:bCs/>
          <w:sz w:val="28"/>
          <w:szCs w:val="28"/>
          <w:lang w:eastAsia="zh-CN"/>
        </w:rPr>
        <w:t>何荣荣</w:t>
      </w:r>
      <w:r>
        <w:rPr>
          <w:rFonts w:eastAsia="仿宋_GB2312" w:cs="仿宋_GB2312"/>
          <w:bCs/>
          <w:sz w:val="28"/>
          <w:szCs w:val="28"/>
        </w:rPr>
        <w:t xml:space="preserve">                  </w:t>
      </w:r>
      <w:r>
        <w:rPr>
          <w:rFonts w:hint="eastAsia" w:eastAsia="仿宋_GB2312" w:cs="仿宋_GB2312"/>
          <w:bCs/>
          <w:sz w:val="28"/>
          <w:szCs w:val="28"/>
        </w:rPr>
        <w:t>联系电话：</w:t>
      </w:r>
      <w:r>
        <w:rPr>
          <w:rFonts w:hint="eastAsia" w:eastAsia="仿宋_GB2312" w:cs="仿宋_GB2312"/>
          <w:bCs/>
          <w:sz w:val="28"/>
          <w:szCs w:val="28"/>
          <w:lang w:val="en-US" w:eastAsia="zh-CN"/>
        </w:rPr>
        <w:t>13874051231</w:t>
      </w:r>
    </w:p>
    <w:tbl>
      <w:tblPr>
        <w:tblStyle w:val="4"/>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tcBorders>
              <w:top w:val="single" w:color="auto" w:sz="4" w:space="0"/>
              <w:left w:val="single" w:color="auto" w:sz="4" w:space="0"/>
              <w:bottom w:val="single" w:color="auto" w:sz="4" w:space="0"/>
              <w:right w:val="single" w:color="auto" w:sz="4" w:space="0"/>
            </w:tcBorders>
          </w:tcPr>
          <w:p>
            <w:pPr>
              <w:keepNext w:val="0"/>
              <w:keepLines w:val="0"/>
              <w:pageBreakBefore w:val="0"/>
              <w:kinsoku/>
              <w:wordWrap/>
              <w:overflowPunct/>
              <w:topLinePunct w:val="0"/>
              <w:autoSpaceDE/>
              <w:bidi w:val="0"/>
              <w:adjustRightInd/>
              <w:snapToGrid/>
              <w:spacing w:line="460" w:lineRule="exact"/>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keepNext w:val="0"/>
              <w:keepLines w:val="0"/>
              <w:pageBreakBefore w:val="0"/>
              <w:widowControl/>
              <w:kinsoku/>
              <w:wordWrap/>
              <w:overflowPunct/>
              <w:topLinePunct w:val="0"/>
              <w:autoSpaceDE/>
              <w:bidi w:val="0"/>
              <w:adjustRightInd/>
              <w:snapToGrid/>
              <w:spacing w:line="460" w:lineRule="exact"/>
              <w:ind w:firstLine="1920" w:firstLineChars="600"/>
              <w:jc w:val="both"/>
              <w:rPr>
                <w:rFonts w:hint="eastAsia" w:ascii="黑体" w:hAnsi="黑体" w:eastAsia="黑体" w:cs="黑体"/>
                <w:bCs/>
                <w:sz w:val="32"/>
                <w:szCs w:val="32"/>
                <w:lang w:val="en-US" w:eastAsia="zh-CN"/>
              </w:rPr>
            </w:pPr>
            <w:r>
              <w:rPr>
                <w:rFonts w:hint="eastAsia" w:ascii="黑体" w:hAnsi="黑体" w:eastAsia="黑体" w:cs="黑体"/>
                <w:bCs/>
                <w:sz w:val="32"/>
                <w:szCs w:val="32"/>
                <w:lang w:eastAsia="zh-CN"/>
              </w:rPr>
              <w:t>岳阳县商务粮食局</w:t>
            </w:r>
            <w:r>
              <w:rPr>
                <w:rFonts w:hint="eastAsia" w:ascii="黑体" w:hAnsi="黑体" w:eastAsia="黑体" w:cs="黑体"/>
                <w:bCs/>
                <w:sz w:val="32"/>
                <w:szCs w:val="32"/>
                <w:lang w:val="en-US" w:eastAsia="zh-CN"/>
              </w:rPr>
              <w:t>2021年评价报告综述</w:t>
            </w:r>
          </w:p>
          <w:p>
            <w:pPr>
              <w:keepNext w:val="0"/>
              <w:keepLines w:val="0"/>
              <w:pageBreakBefore w:val="0"/>
              <w:widowControl/>
              <w:kinsoku/>
              <w:wordWrap/>
              <w:overflowPunct/>
              <w:topLinePunct w:val="0"/>
              <w:autoSpaceDE/>
              <w:bidi w:val="0"/>
              <w:adjustRightInd/>
              <w:snapToGrid/>
              <w:spacing w:line="460" w:lineRule="exact"/>
              <w:ind w:firstLine="562" w:firstLineChars="200"/>
              <w:outlineLvl w:val="9"/>
              <w:rPr>
                <w:rFonts w:hint="eastAsia" w:ascii="黑体" w:hAnsi="黑体" w:eastAsia="黑体" w:cs="黑体"/>
                <w:b/>
                <w:bCs/>
                <w:color w:val="000000" w:themeColor="text1"/>
                <w:kern w:val="0"/>
                <w:sz w:val="28"/>
                <w:szCs w:val="28"/>
                <w:highlight w:val="none"/>
                <w14:textFill>
                  <w14:solidFill>
                    <w14:schemeClr w14:val="tx1"/>
                  </w14:solidFill>
                </w14:textFill>
              </w:rPr>
            </w:pPr>
            <w:r>
              <w:rPr>
                <w:rFonts w:hint="eastAsia" w:ascii="黑体" w:hAnsi="黑体" w:eastAsia="黑体" w:cs="黑体"/>
                <w:b/>
                <w:bCs/>
                <w:color w:val="000000" w:themeColor="text1"/>
                <w:kern w:val="0"/>
                <w:sz w:val="28"/>
                <w:szCs w:val="28"/>
                <w:highlight w:val="none"/>
                <w14:textFill>
                  <w14:solidFill>
                    <w14:schemeClr w14:val="tx1"/>
                  </w14:solidFill>
                </w14:textFill>
              </w:rPr>
              <w:t>一、</w:t>
            </w:r>
            <w:r>
              <w:rPr>
                <w:rFonts w:hint="eastAsia" w:ascii="黑体" w:hAnsi="黑体" w:eastAsia="黑体" w:cs="黑体"/>
                <w:bCs/>
                <w:color w:val="000000" w:themeColor="text1"/>
                <w:sz w:val="28"/>
                <w:szCs w:val="28"/>
                <w14:textFill>
                  <w14:solidFill>
                    <w14:schemeClr w14:val="tx1"/>
                  </w14:solidFill>
                </w14:textFill>
              </w:rPr>
              <w:t>部门（单位）概况</w:t>
            </w:r>
          </w:p>
          <w:p>
            <w:pPr>
              <w:widowControl/>
              <w:spacing w:line="600" w:lineRule="exact"/>
              <w:ind w:firstLine="560" w:firstLineChars="200"/>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kern w:val="0"/>
                <w:sz w:val="28"/>
                <w:szCs w:val="28"/>
                <w:highlight w:val="none"/>
                <w14:textFill>
                  <w14:solidFill>
                    <w14:schemeClr w14:val="tx1"/>
                  </w14:solidFill>
                </w14:textFill>
              </w:rPr>
              <w:t>（一）</w:t>
            </w:r>
            <w:r>
              <w:rPr>
                <w:rFonts w:hint="eastAsia" w:ascii="仿宋" w:hAnsi="仿宋" w:eastAsia="仿宋" w:cs="仿宋"/>
                <w:bCs/>
                <w:color w:val="000000" w:themeColor="text1"/>
                <w:sz w:val="28"/>
                <w:szCs w:val="28"/>
                <w14:textFill>
                  <w14:solidFill>
                    <w14:schemeClr w14:val="tx1"/>
                  </w14:solidFill>
                </w14:textFill>
              </w:rPr>
              <w:t>部门（单位）基本情况</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:岳阳县商务粮食局主要负责</w:t>
            </w:r>
            <w:r>
              <w:rPr>
                <w:rFonts w:hint="eastAsia" w:ascii="仿宋" w:hAnsi="仿宋" w:eastAsia="仿宋" w:cs="仿宋"/>
                <w:color w:val="000000" w:themeColor="text1"/>
                <w:sz w:val="28"/>
                <w:szCs w:val="28"/>
                <w14:textFill>
                  <w14:solidFill>
                    <w14:schemeClr w14:val="tx1"/>
                  </w14:solidFill>
                </w14:textFill>
              </w:rPr>
              <w:t>贯彻执行国家国内外贸易、国际经济合作和区域经济合作的发展战略、政策；起草我县国内外贸易、招商引资、承结产业转移、对外援助、对外投资和对外经济合作的规范性文件草案、政策措施和实施办法，研究经济全球化、区域经济合作、现代流通方式的发展趋势和流通体制改革并提出建议；研究提出全县粮食宏观调控、总量平衡以及粮食流通的中长期规划和收储、动用县级储备粮的建议；拟订粮食流通体制改革方案并组织实施，推动国有粮食企业改革；研究提出现代粮食流通产业发展战略的建议并负责实施。</w:t>
            </w:r>
            <w:r>
              <w:rPr>
                <w:rFonts w:hint="eastAsia" w:ascii="仿宋" w:hAnsi="仿宋" w:eastAsia="仿宋" w:cs="仿宋"/>
                <w:b w:val="0"/>
                <w:bCs w:val="0"/>
                <w:kern w:val="0"/>
                <w:sz w:val="28"/>
                <w:szCs w:val="28"/>
              </w:rPr>
              <w:t>承担组织实施重要消费品市场调控和重要生产资料流通管理的责任,负责建立健全生活必需品市场供应应急管理机制,监测分析市场运行、商品供求状况,调查分析商品价格信息,进行预测预警和信息引导;按分工负责重要消费品储备管理和市场调控工作;按有关规定对成品油流通进行监督管理;承担粮食监测预警和应急责任,负责全县粮食流通宏观调控工作,指导协调最低收购价等政策性粮食购销粮</w:t>
            </w:r>
            <w:r>
              <w:rPr>
                <w:rFonts w:hint="eastAsia" w:ascii="仿宋" w:hAnsi="仿宋" w:eastAsia="仿宋" w:cs="仿宋"/>
                <w:b w:val="0"/>
                <w:bCs w:val="0"/>
                <w:kern w:val="0"/>
                <w:sz w:val="28"/>
                <w:szCs w:val="28"/>
                <w:lang w:eastAsia="zh-CN"/>
              </w:rPr>
              <w:t>食</w:t>
            </w:r>
            <w:r>
              <w:rPr>
                <w:rFonts w:hint="eastAsia" w:ascii="仿宋" w:hAnsi="仿宋" w:eastAsia="仿宋" w:cs="仿宋"/>
                <w:b w:val="0"/>
                <w:bCs w:val="0"/>
                <w:kern w:val="0"/>
                <w:sz w:val="28"/>
                <w:szCs w:val="28"/>
              </w:rPr>
              <w:t>产销合作、保障军队粮食供应;编制粮食流通、仓储</w:t>
            </w:r>
            <w:r>
              <w:rPr>
                <w:rFonts w:hint="eastAsia" w:ascii="仿宋" w:hAnsi="仿宋" w:eastAsia="仿宋" w:cs="仿宋"/>
                <w:b w:val="0"/>
                <w:bCs w:val="0"/>
                <w:kern w:val="0"/>
                <w:sz w:val="28"/>
                <w:szCs w:val="28"/>
                <w:lang w:eastAsia="zh-CN"/>
              </w:rPr>
              <w:t>、加</w:t>
            </w:r>
            <w:r>
              <w:rPr>
                <w:rFonts w:hint="eastAsia" w:ascii="仿宋" w:hAnsi="仿宋" w:eastAsia="仿宋" w:cs="仿宋"/>
                <w:b w:val="0"/>
                <w:bCs w:val="0"/>
                <w:kern w:val="0"/>
                <w:sz w:val="28"/>
                <w:szCs w:val="28"/>
              </w:rPr>
              <w:t>工设</w:t>
            </w:r>
            <w:r>
              <w:rPr>
                <w:rFonts w:hint="eastAsia" w:ascii="仿宋" w:hAnsi="仿宋" w:eastAsia="仿宋" w:cs="仿宋"/>
                <w:b w:val="0"/>
                <w:bCs w:val="0"/>
                <w:kern w:val="0"/>
                <w:sz w:val="28"/>
                <w:szCs w:val="28"/>
                <w:lang w:eastAsia="zh-CN"/>
              </w:rPr>
              <w:t>施</w:t>
            </w:r>
            <w:r>
              <w:rPr>
                <w:rFonts w:hint="eastAsia" w:ascii="仿宋" w:hAnsi="仿宋" w:eastAsia="仿宋" w:cs="仿宋"/>
                <w:b w:val="0"/>
                <w:bCs w:val="0"/>
                <w:kern w:val="0"/>
                <w:sz w:val="28"/>
                <w:szCs w:val="28"/>
              </w:rPr>
              <w:t>建设规划</w:t>
            </w:r>
            <w:r>
              <w:rPr>
                <w:rFonts w:hint="eastAsia" w:ascii="仿宋" w:hAnsi="仿宋" w:eastAsia="仿宋" w:cs="仿宋"/>
                <w:b w:val="0"/>
                <w:bCs w:val="0"/>
                <w:kern w:val="0"/>
                <w:sz w:val="28"/>
                <w:szCs w:val="28"/>
                <w:lang w:eastAsia="zh-CN"/>
              </w:rPr>
              <w:t>，</w:t>
            </w:r>
            <w:r>
              <w:rPr>
                <w:rFonts w:hint="eastAsia" w:ascii="仿宋" w:hAnsi="仿宋" w:eastAsia="仿宋" w:cs="仿宋"/>
                <w:b w:val="0"/>
                <w:bCs w:val="0"/>
                <w:kern w:val="0"/>
                <w:sz w:val="28"/>
                <w:szCs w:val="28"/>
              </w:rPr>
              <w:t>管理有关粮食流通设施投资项目</w:t>
            </w:r>
            <w:r>
              <w:rPr>
                <w:rFonts w:hint="eastAsia" w:ascii="仿宋" w:hAnsi="仿宋" w:eastAsia="仿宋" w:cs="仿宋"/>
                <w:b w:val="0"/>
                <w:bCs w:val="0"/>
                <w:kern w:val="0"/>
                <w:sz w:val="28"/>
                <w:szCs w:val="28"/>
                <w:lang w:eastAsia="zh-CN"/>
              </w:rPr>
              <w:t>。</w:t>
            </w:r>
            <w:r>
              <w:rPr>
                <w:rFonts w:hint="eastAsia" w:ascii="仿宋" w:hAnsi="仿宋" w:eastAsia="仿宋" w:cs="仿宋"/>
                <w:color w:val="000000" w:themeColor="text1"/>
                <w:sz w:val="28"/>
                <w:szCs w:val="28"/>
                <w14:textFill>
                  <w14:solidFill>
                    <w14:schemeClr w14:val="tx1"/>
                  </w14:solidFill>
                </w14:textFill>
              </w:rPr>
              <w:t>商务粮食局</w:t>
            </w:r>
            <w:r>
              <w:rPr>
                <w:rFonts w:hint="eastAsia" w:ascii="仿宋" w:hAnsi="仿宋" w:eastAsia="仿宋" w:cs="仿宋"/>
                <w:color w:val="000000" w:themeColor="text1"/>
                <w:sz w:val="28"/>
                <w:szCs w:val="28"/>
                <w:lang w:eastAsia="zh-CN"/>
                <w14:textFill>
                  <w14:solidFill>
                    <w14:schemeClr w14:val="tx1"/>
                  </w14:solidFill>
                </w14:textFill>
              </w:rPr>
              <w:t>现有</w:t>
            </w:r>
            <w:r>
              <w:rPr>
                <w:rFonts w:hint="eastAsia" w:ascii="仿宋" w:hAnsi="仿宋" w:eastAsia="仿宋" w:cs="仿宋"/>
                <w:color w:val="000000" w:themeColor="text1"/>
                <w:sz w:val="28"/>
                <w:szCs w:val="28"/>
                <w14:textFill>
                  <w14:solidFill>
                    <w14:schemeClr w14:val="tx1"/>
                  </w14:solidFill>
                </w14:textFill>
              </w:rPr>
              <w:t>13个股室</w:t>
            </w:r>
            <w:r>
              <w:rPr>
                <w:rFonts w:hint="eastAsia" w:ascii="仿宋" w:hAnsi="仿宋" w:eastAsia="仿宋" w:cs="仿宋"/>
                <w:color w:val="000000" w:themeColor="text1"/>
                <w:sz w:val="28"/>
                <w:szCs w:val="28"/>
                <w:lang w:eastAsia="zh-CN"/>
                <w14:textFill>
                  <w14:solidFill>
                    <w14:schemeClr w14:val="tx1"/>
                  </w14:solidFill>
                </w14:textFill>
              </w:rPr>
              <w:t>和</w:t>
            </w:r>
            <w:r>
              <w:rPr>
                <w:rFonts w:hint="eastAsia" w:ascii="仿宋" w:hAnsi="仿宋" w:eastAsia="仿宋" w:cs="仿宋"/>
                <w:color w:val="000000" w:themeColor="text1"/>
                <w:sz w:val="28"/>
                <w:szCs w:val="28"/>
                <w:lang w:val="en-US" w:eastAsia="zh-CN"/>
                <w14:textFill>
                  <w14:solidFill>
                    <w14:schemeClr w14:val="tx1"/>
                  </w14:solidFill>
                </w14:textFill>
              </w:rPr>
              <w:t>4个</w:t>
            </w:r>
            <w:r>
              <w:rPr>
                <w:rFonts w:hint="eastAsia" w:ascii="仿宋" w:hAnsi="仿宋" w:eastAsia="仿宋" w:cs="仿宋"/>
                <w:color w:val="000000" w:themeColor="text1"/>
                <w:sz w:val="28"/>
                <w:szCs w:val="28"/>
                <w:shd w:val="clear" w:color="auto" w:fill="FFFFFF"/>
                <w14:textFill>
                  <w14:solidFill>
                    <w14:schemeClr w14:val="tx1"/>
                  </w14:solidFill>
                </w14:textFill>
              </w:rPr>
              <w:t>二级机构</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（仅一个二级机构岳阳县市场建设管理中心财务独立核算），商务粮食系统现有</w:t>
            </w:r>
            <w:r>
              <w:rPr>
                <w:rFonts w:hint="eastAsia" w:ascii="仿宋" w:hAnsi="仿宋" w:eastAsia="仿宋" w:cs="仿宋"/>
                <w:color w:val="000000" w:themeColor="text1"/>
                <w:sz w:val="28"/>
                <w:szCs w:val="28"/>
                <w14:textFill>
                  <w14:solidFill>
                    <w14:schemeClr w14:val="tx1"/>
                  </w14:solidFill>
                </w14:textFill>
              </w:rPr>
              <w:t>2</w:t>
            </w:r>
            <w:r>
              <w:rPr>
                <w:rFonts w:hint="eastAsia" w:ascii="仿宋" w:hAnsi="仿宋" w:eastAsia="仿宋" w:cs="仿宋"/>
                <w:color w:val="000000" w:themeColor="text1"/>
                <w:sz w:val="28"/>
                <w:szCs w:val="28"/>
                <w:lang w:val="en-US" w:eastAsia="zh-CN"/>
                <w14:textFill>
                  <w14:solidFill>
                    <w14:schemeClr w14:val="tx1"/>
                  </w14:solidFill>
                </w14:textFill>
              </w:rPr>
              <w:t>62</w:t>
            </w:r>
            <w:r>
              <w:rPr>
                <w:rFonts w:hint="eastAsia" w:ascii="仿宋" w:hAnsi="仿宋" w:eastAsia="仿宋" w:cs="仿宋"/>
                <w:color w:val="000000" w:themeColor="text1"/>
                <w:sz w:val="28"/>
                <w:szCs w:val="28"/>
                <w14:textFill>
                  <w14:solidFill>
                    <w14:schemeClr w14:val="tx1"/>
                  </w14:solidFill>
                </w14:textFill>
              </w:rPr>
              <w:t>人，其中：在职</w:t>
            </w:r>
            <w:r>
              <w:rPr>
                <w:rFonts w:hint="eastAsia" w:ascii="仿宋" w:hAnsi="仿宋" w:eastAsia="仿宋" w:cs="仿宋"/>
                <w:color w:val="000000" w:themeColor="text1"/>
                <w:sz w:val="28"/>
                <w:szCs w:val="28"/>
                <w:lang w:val="en-US" w:eastAsia="zh-CN"/>
                <w14:textFill>
                  <w14:solidFill>
                    <w14:schemeClr w14:val="tx1"/>
                  </w14:solidFill>
                </w14:textFill>
              </w:rPr>
              <w:t>116</w:t>
            </w:r>
            <w:r>
              <w:rPr>
                <w:rFonts w:hint="eastAsia" w:ascii="仿宋" w:hAnsi="仿宋" w:eastAsia="仿宋" w:cs="仿宋"/>
                <w:color w:val="000000" w:themeColor="text1"/>
                <w:sz w:val="28"/>
                <w:szCs w:val="28"/>
                <w14:textFill>
                  <w14:solidFill>
                    <w14:schemeClr w14:val="tx1"/>
                  </w14:solidFill>
                </w14:textFill>
              </w:rPr>
              <w:t>人</w:t>
            </w:r>
            <w:r>
              <w:rPr>
                <w:rFonts w:hint="eastAsia" w:ascii="仿宋" w:hAnsi="仿宋" w:eastAsia="仿宋" w:cs="仿宋"/>
                <w:color w:val="000000" w:themeColor="text1"/>
                <w:sz w:val="28"/>
                <w:szCs w:val="28"/>
                <w:lang w:eastAsia="zh-CN"/>
                <w14:textFill>
                  <w14:solidFill>
                    <w14:schemeClr w14:val="tx1"/>
                  </w14:solidFill>
                </w14:textFill>
              </w:rPr>
              <w:t>（全额预算编制人员</w:t>
            </w:r>
            <w:r>
              <w:rPr>
                <w:rFonts w:hint="eastAsia" w:ascii="仿宋" w:hAnsi="仿宋" w:eastAsia="仿宋" w:cs="仿宋"/>
                <w:color w:val="000000" w:themeColor="text1"/>
                <w:sz w:val="28"/>
                <w:szCs w:val="28"/>
                <w:lang w:val="en-US" w:eastAsia="zh-CN"/>
                <w14:textFill>
                  <w14:solidFill>
                    <w14:schemeClr w14:val="tx1"/>
                  </w14:solidFill>
                </w14:textFill>
              </w:rPr>
              <w:t>90</w:t>
            </w:r>
            <w:r>
              <w:rPr>
                <w:rFonts w:hint="eastAsia" w:ascii="仿宋" w:hAnsi="仿宋" w:eastAsia="仿宋" w:cs="仿宋"/>
                <w:color w:val="000000" w:themeColor="text1"/>
                <w:sz w:val="28"/>
                <w:szCs w:val="28"/>
                <w:lang w:eastAsia="zh-CN"/>
                <w14:textFill>
                  <w14:solidFill>
                    <w14:schemeClr w14:val="tx1"/>
                  </w14:solidFill>
                </w14:textFill>
              </w:rPr>
              <w:t>人，差额预算编制人员</w:t>
            </w:r>
            <w:r>
              <w:rPr>
                <w:rFonts w:hint="eastAsia" w:ascii="仿宋" w:hAnsi="仿宋" w:eastAsia="仿宋" w:cs="仿宋"/>
                <w:color w:val="000000" w:themeColor="text1"/>
                <w:sz w:val="28"/>
                <w:szCs w:val="28"/>
                <w:lang w:val="en-US" w:eastAsia="zh-CN"/>
                <w14:textFill>
                  <w14:solidFill>
                    <w14:schemeClr w14:val="tx1"/>
                  </w14:solidFill>
                </w14:textFill>
              </w:rPr>
              <w:t>10人，自收自支编制人员16人)</w:t>
            </w:r>
            <w:bookmarkStart w:id="0" w:name="_GoBack"/>
            <w:bookmarkEnd w:id="0"/>
            <w:r>
              <w:rPr>
                <w:rFonts w:hint="eastAsia" w:ascii="仿宋" w:hAnsi="仿宋" w:eastAsia="仿宋" w:cs="仿宋"/>
                <w:color w:val="000000" w:themeColor="text1"/>
                <w:sz w:val="28"/>
                <w:szCs w:val="28"/>
                <w14:textFill>
                  <w14:solidFill>
                    <w14:schemeClr w14:val="tx1"/>
                  </w14:solidFill>
                </w14:textFill>
              </w:rPr>
              <w:t>，退休</w:t>
            </w:r>
            <w:r>
              <w:rPr>
                <w:rFonts w:hint="eastAsia" w:ascii="仿宋" w:hAnsi="仿宋" w:eastAsia="仿宋" w:cs="仿宋"/>
                <w:color w:val="000000" w:themeColor="text1"/>
                <w:sz w:val="28"/>
                <w:szCs w:val="28"/>
                <w:lang w:val="en-US" w:eastAsia="zh-CN"/>
                <w14:textFill>
                  <w14:solidFill>
                    <w14:schemeClr w14:val="tx1"/>
                  </w14:solidFill>
                </w14:textFill>
              </w:rPr>
              <w:t>146</w:t>
            </w:r>
            <w:r>
              <w:rPr>
                <w:rFonts w:hint="eastAsia" w:ascii="仿宋" w:hAnsi="仿宋" w:eastAsia="仿宋" w:cs="仿宋"/>
                <w:color w:val="000000" w:themeColor="text1"/>
                <w:sz w:val="28"/>
                <w:szCs w:val="28"/>
                <w14:textFill>
                  <w14:solidFill>
                    <w14:schemeClr w14:val="tx1"/>
                  </w14:solidFill>
                </w14:textFill>
              </w:rPr>
              <w:t>人。</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2021年工作目标任务：</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color w:val="auto"/>
                <w:sz w:val="28"/>
                <w:szCs w:val="28"/>
              </w:rPr>
            </w:pPr>
            <w:r>
              <w:rPr>
                <w:rFonts w:hint="eastAsia" w:ascii="仿宋" w:hAnsi="仿宋" w:eastAsia="仿宋" w:cs="仿宋"/>
                <w:color w:val="000000" w:themeColor="text1"/>
                <w:sz w:val="28"/>
                <w:szCs w:val="28"/>
                <w14:textFill>
                  <w14:solidFill>
                    <w14:schemeClr w14:val="tx1"/>
                  </w14:solidFill>
                </w14:textFill>
              </w:rPr>
              <w:t>目标</w:t>
            </w:r>
            <w:r>
              <w:rPr>
                <w:rFonts w:hint="eastAsia" w:ascii="仿宋" w:hAnsi="仿宋" w:eastAsia="仿宋" w:cs="仿宋"/>
                <w:color w:val="auto"/>
                <w:sz w:val="28"/>
                <w:szCs w:val="28"/>
              </w:rPr>
              <w:t>1：</w:t>
            </w:r>
            <w:r>
              <w:rPr>
                <w:rFonts w:hint="eastAsia" w:ascii="仿宋" w:hAnsi="仿宋" w:eastAsia="仿宋" w:cs="仿宋"/>
                <w:color w:val="auto"/>
                <w:sz w:val="28"/>
                <w:szCs w:val="28"/>
                <w:lang w:eastAsia="zh-CN"/>
              </w:rPr>
              <w:t>全年预算申请到位和下达数量在</w:t>
            </w:r>
            <w:r>
              <w:rPr>
                <w:rFonts w:hint="eastAsia" w:ascii="仿宋" w:hAnsi="仿宋" w:eastAsia="仿宋" w:cs="仿宋"/>
                <w:color w:val="auto"/>
                <w:sz w:val="28"/>
                <w:szCs w:val="28"/>
                <w:lang w:val="en-US" w:eastAsia="zh-CN"/>
              </w:rPr>
              <w:t>95%以上，三公经费变动率≤0。</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color w:val="auto"/>
                <w:sz w:val="28"/>
                <w:szCs w:val="28"/>
                <w:lang w:eastAsia="zh-CN"/>
              </w:rPr>
            </w:pPr>
            <w:r>
              <w:rPr>
                <w:rFonts w:hint="eastAsia" w:ascii="仿宋" w:hAnsi="仿宋" w:eastAsia="仿宋" w:cs="仿宋"/>
                <w:color w:val="auto"/>
                <w:sz w:val="28"/>
                <w:szCs w:val="28"/>
              </w:rPr>
              <w:t>目标2：</w:t>
            </w:r>
            <w:r>
              <w:rPr>
                <w:rFonts w:hint="eastAsia" w:ascii="仿宋" w:hAnsi="仿宋" w:eastAsia="仿宋" w:cs="仿宋"/>
                <w:color w:val="auto"/>
                <w:sz w:val="28"/>
                <w:szCs w:val="28"/>
                <w:lang w:eastAsia="zh-CN"/>
              </w:rPr>
              <w:t>社会效益、经济效益、生态效益和社会公众满意度达到预期目标。</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rPr>
              <w:t>目标3：</w:t>
            </w:r>
            <w:r>
              <w:rPr>
                <w:rFonts w:hint="eastAsia" w:ascii="仿宋" w:hAnsi="仿宋" w:eastAsia="仿宋" w:cs="仿宋"/>
                <w:color w:val="auto"/>
                <w:sz w:val="28"/>
                <w:szCs w:val="28"/>
                <w:lang w:eastAsia="zh-CN"/>
              </w:rPr>
              <w:t>完成社会消费品零售总额</w:t>
            </w:r>
            <w:r>
              <w:rPr>
                <w:rFonts w:hint="eastAsia" w:ascii="仿宋" w:hAnsi="仿宋" w:eastAsia="仿宋" w:cs="仿宋"/>
                <w:color w:val="auto"/>
                <w:sz w:val="28"/>
                <w:szCs w:val="28"/>
                <w:lang w:val="en-US" w:eastAsia="zh-CN"/>
              </w:rPr>
              <w:t>148.08亿元，</w:t>
            </w:r>
            <w:r>
              <w:rPr>
                <w:rFonts w:hint="eastAsia" w:ascii="仿宋" w:hAnsi="仿宋" w:eastAsia="仿宋" w:cs="仿宋"/>
                <w:color w:val="auto"/>
                <w:sz w:val="28"/>
                <w:szCs w:val="28"/>
              </w:rPr>
              <w:t>全市六县市排名第二</w:t>
            </w:r>
            <w:r>
              <w:rPr>
                <w:rFonts w:hint="eastAsia" w:ascii="仿宋" w:hAnsi="仿宋" w:eastAsia="仿宋" w:cs="仿宋"/>
                <w:color w:val="auto"/>
                <w:sz w:val="28"/>
                <w:szCs w:val="28"/>
                <w:lang w:val="en-US" w:eastAsia="zh-CN"/>
              </w:rPr>
              <w:t>。</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color w:val="auto"/>
                <w:sz w:val="28"/>
                <w:szCs w:val="28"/>
                <w:lang w:val="en-US" w:eastAsia="zh-CN"/>
              </w:rPr>
            </w:pPr>
            <w:r>
              <w:rPr>
                <w:rFonts w:hint="eastAsia" w:ascii="仿宋" w:hAnsi="仿宋" w:eastAsia="仿宋" w:cs="仿宋"/>
                <w:color w:val="auto"/>
                <w:sz w:val="28"/>
                <w:szCs w:val="28"/>
                <w:lang w:val="en-US" w:eastAsia="zh-CN"/>
              </w:rPr>
              <w:t>目标4：完成省级储备粮轮换早籼稻7386吨，县级储备粮轮换早籼稻5500吨。</w:t>
            </w:r>
          </w:p>
          <w:p>
            <w:pPr>
              <w:keepNext w:val="0"/>
              <w:keepLines w:val="0"/>
              <w:pageBreakBefore w:val="0"/>
              <w:kinsoku/>
              <w:wordWrap/>
              <w:overflowPunct/>
              <w:topLinePunct w:val="0"/>
              <w:autoSpaceDE/>
              <w:autoSpaceDN w:val="0"/>
              <w:bidi w:val="0"/>
              <w:adjustRightInd/>
              <w:snapToGrid/>
              <w:spacing w:line="460" w:lineRule="exact"/>
              <w:ind w:firstLine="560" w:firstLineChars="200"/>
              <w:jc w:val="left"/>
              <w:textAlignment w:val="center"/>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lang w:val="en-US" w:eastAsia="zh-CN"/>
                <w14:textFill>
                  <w14:solidFill>
                    <w14:schemeClr w14:val="tx1"/>
                  </w14:solidFill>
                </w14:textFill>
              </w:rPr>
              <w:t>（二）</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r>
              <w:rPr>
                <w:rFonts w:hint="eastAsia" w:ascii="仿宋" w:hAnsi="仿宋" w:eastAsia="仿宋" w:cs="仿宋"/>
                <w:bCs/>
                <w:color w:val="000000" w:themeColor="text1"/>
                <w:sz w:val="28"/>
                <w:szCs w:val="28"/>
                <w14:textFill>
                  <w14:solidFill>
                    <w14:schemeClr w14:val="tx1"/>
                  </w14:solidFill>
                </w14:textFill>
              </w:rPr>
              <w:t>部门（单位）整体支出规模、使用方向和主要内容、涉及范围</w:t>
            </w:r>
            <w:r>
              <w:rPr>
                <w:rFonts w:hint="eastAsia" w:ascii="仿宋" w:hAnsi="仿宋" w:eastAsia="仿宋" w:cs="仿宋"/>
                <w:bCs/>
                <w:color w:val="000000" w:themeColor="text1"/>
                <w:sz w:val="28"/>
                <w:szCs w:val="28"/>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2021年岳阳县商务粮食局总支出3225.21万元，其中：基本支出1958.14万元，包括</w:t>
            </w:r>
            <w:r>
              <w:rPr>
                <w:rFonts w:hint="eastAsia" w:ascii="仿宋" w:hAnsi="仿宋" w:eastAsia="仿宋" w:cs="仿宋"/>
                <w:color w:val="000000" w:themeColor="text1"/>
                <w:kern w:val="0"/>
                <w:sz w:val="28"/>
                <w:szCs w:val="28"/>
                <w:highlight w:val="none"/>
                <w:lang w:eastAsia="zh-CN"/>
                <w14:textFill>
                  <w14:solidFill>
                    <w14:schemeClr w14:val="tx1"/>
                  </w14:solidFill>
                </w14:textFill>
              </w:rPr>
              <w:t>工资福利支出</w:t>
            </w:r>
            <w:r>
              <w:rPr>
                <w:rFonts w:hint="eastAsia" w:ascii="仿宋" w:hAnsi="仿宋" w:eastAsia="仿宋" w:cs="仿宋"/>
                <w:color w:val="000000" w:themeColor="text1"/>
                <w:kern w:val="0"/>
                <w:sz w:val="28"/>
                <w:szCs w:val="28"/>
                <w:highlight w:val="none"/>
                <w:lang w:val="en-US" w:eastAsia="zh-CN"/>
                <w14:textFill>
                  <w14:solidFill>
                    <w14:schemeClr w14:val="tx1"/>
                  </w14:solidFill>
                </w14:textFill>
              </w:rPr>
              <w:t>、一般商品和服务支出、对个人和家庭的补助支出</w:t>
            </w:r>
            <w:r>
              <w:rPr>
                <w:rFonts w:hint="eastAsia" w:ascii="仿宋" w:hAnsi="仿宋" w:eastAsia="仿宋" w:cs="仿宋"/>
                <w:bCs/>
                <w:color w:val="000000" w:themeColor="text1"/>
                <w:sz w:val="28"/>
                <w:szCs w:val="28"/>
                <w:lang w:val="en-US" w:eastAsia="zh-CN"/>
                <w14:textFill>
                  <w14:solidFill>
                    <w14:schemeClr w14:val="tx1"/>
                  </w14:solidFill>
                </w14:textFill>
              </w:rPr>
              <w:t>；项目支出1267.07万元，主要是荣家湾粮库县级粮食储备经费、粮食改制经费、电子商务等项目支出。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二、部门（单位）整体支出管理及使用情况</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（一）基本支出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2021年岳阳县商务粮食局基本支出1958.14万元,主要用于人员支出1546.03万元，公用支出412.11万元。“三公经费”支出0.23万元。年初我局制定了经费预算时，明确了“三公经费”控制标准。</w:t>
            </w:r>
          </w:p>
          <w:p>
            <w:pPr>
              <w:keepNext w:val="0"/>
              <w:keepLines w:val="0"/>
              <w:pageBreakBefore w:val="0"/>
              <w:numPr>
                <w:ilvl w:val="0"/>
                <w:numId w:val="0"/>
              </w:numPr>
              <w:kinsoku/>
              <w:wordWrap/>
              <w:overflowPunct/>
              <w:topLinePunct w:val="0"/>
              <w:autoSpaceDE/>
              <w:bidi w:val="0"/>
              <w:adjustRightInd/>
              <w:snapToGrid/>
              <w:spacing w:line="460" w:lineRule="exact"/>
              <w:ind w:leftChars="0"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（二）</w:t>
            </w:r>
            <w:r>
              <w:rPr>
                <w:rFonts w:hint="eastAsia" w:ascii="仿宋" w:hAnsi="仿宋" w:eastAsia="仿宋" w:cs="仿宋"/>
                <w:bCs/>
                <w:color w:val="000000" w:themeColor="text1"/>
                <w:sz w:val="28"/>
                <w:szCs w:val="28"/>
                <w14:textFill>
                  <w14:solidFill>
                    <w14:schemeClr w14:val="tx1"/>
                  </w14:solidFill>
                </w14:textFill>
              </w:rPr>
              <w:t>专项支出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FF0000"/>
                <w:sz w:val="28"/>
                <w:szCs w:val="28"/>
                <w:lang w:val="en-US" w:eastAsia="zh-CN"/>
              </w:rPr>
              <w:t xml:space="preserve"> </w:t>
            </w:r>
            <w:r>
              <w:rPr>
                <w:rFonts w:hint="eastAsia" w:ascii="仿宋" w:hAnsi="仿宋" w:eastAsia="仿宋" w:cs="仿宋"/>
                <w:bCs/>
                <w:color w:val="000000" w:themeColor="text1"/>
                <w:sz w:val="28"/>
                <w:szCs w:val="28"/>
                <w:lang w:val="en-US" w:eastAsia="zh-CN"/>
                <w14:textFill>
                  <w14:solidFill>
                    <w14:schemeClr w14:val="tx1"/>
                  </w14:solidFill>
                </w14:textFill>
              </w:rPr>
              <w:t xml:space="preserve"> 2021年我局项目支出1267.07万元，主要是：荣家湾粮库县级粮食储备经费180万元</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用于岳阳县荣家湾粮库有限公司省级储备粮</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7386吨和县级储备粮5500吨的收购、保管、轮换和利息费用的补贴；粮食</w:t>
            </w:r>
            <w:r>
              <w:rPr>
                <w:rFonts w:hint="eastAsia" w:ascii="仿宋" w:hAnsi="仿宋" w:eastAsia="仿宋" w:cs="仿宋"/>
                <w:bCs/>
                <w:color w:val="000000" w:themeColor="text1"/>
                <w:sz w:val="28"/>
                <w:szCs w:val="28"/>
                <w:lang w:val="en-US" w:eastAsia="zh-CN"/>
                <w14:textFill>
                  <w14:solidFill>
                    <w14:schemeClr w14:val="tx1"/>
                  </w14:solidFill>
                </w14:textFill>
              </w:rPr>
              <w:t>改制经费131万元</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用于破产改制粮食企业员工身份置换费用（实际使用</w:t>
            </w:r>
            <w:r>
              <w:rPr>
                <w:rFonts w:hint="eastAsia" w:ascii="仿宋" w:hAnsi="仿宋" w:eastAsia="仿宋" w:cs="仿宋"/>
                <w:color w:val="000000" w:themeColor="text1"/>
                <w:sz w:val="28"/>
                <w:szCs w:val="28"/>
                <w:shd w:val="clear" w:color="auto" w:fill="FFFFFF"/>
                <w:lang w:val="en-US" w:eastAsia="zh-CN"/>
                <w14:textFill>
                  <w14:solidFill>
                    <w14:schemeClr w14:val="tx1"/>
                  </w14:solidFill>
                </w14:textFill>
              </w:rPr>
              <w:t>418.89万元）</w:t>
            </w:r>
            <w:r>
              <w:rPr>
                <w:rFonts w:hint="eastAsia" w:ascii="仿宋" w:hAnsi="仿宋" w:eastAsia="仿宋" w:cs="仿宋"/>
                <w:color w:val="000000" w:themeColor="text1"/>
                <w:sz w:val="28"/>
                <w:szCs w:val="28"/>
                <w:shd w:val="clear" w:color="auto" w:fill="FFFFFF"/>
                <w:lang w:eastAsia="zh-CN"/>
                <w14:textFill>
                  <w14:solidFill>
                    <w14:schemeClr w14:val="tx1"/>
                  </w14:solidFill>
                </w14:textFill>
              </w:rPr>
              <w:t>；</w:t>
            </w:r>
            <w:r>
              <w:rPr>
                <w:rFonts w:hint="eastAsia" w:ascii="仿宋" w:hAnsi="仿宋" w:eastAsia="仿宋" w:cs="仿宋"/>
                <w:bCs/>
                <w:color w:val="000000" w:themeColor="text1"/>
                <w:sz w:val="28"/>
                <w:szCs w:val="28"/>
                <w:lang w:val="en-US" w:eastAsia="zh-CN"/>
                <w14:textFill>
                  <w14:solidFill>
                    <w14:schemeClr w14:val="tx1"/>
                  </w14:solidFill>
                </w14:textFill>
              </w:rPr>
              <w:t>电子商务经费119万元用于农村电商公共服务中心场地租金及运营费、电子商务平台建设、运营、培训和品牌培育推广等；老旧小区改造60万元；乡村振兴对口帮扶项目192万元及“四上”项目等支出297.17万元。</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三、部门（单位）专项组织实施情况</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（一）专项组织情况分析</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eastAsia="zh-CN"/>
                <w14:textFill>
                  <w14:solidFill>
                    <w14:schemeClr w14:val="tx1"/>
                  </w14:solidFill>
                </w14:textFill>
              </w:rPr>
              <w:t>我局根据上级有关部门对专项资金的管理和使用要求，根据业务需要和工作要求，采取机关各股室、二级机构分工合作的办法，对有关专项工作进行组织管理。</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1、</w:t>
            </w:r>
            <w:r>
              <w:rPr>
                <w:rFonts w:hint="eastAsia" w:ascii="仿宋" w:hAnsi="仿宋" w:eastAsia="仿宋" w:cs="仿宋"/>
                <w:bCs/>
                <w:color w:val="000000" w:themeColor="text1"/>
                <w:sz w:val="28"/>
                <w:szCs w:val="28"/>
                <w:lang w:eastAsia="zh-CN"/>
                <w14:textFill>
                  <w14:solidFill>
                    <w14:schemeClr w14:val="tx1"/>
                  </w14:solidFill>
                </w14:textFill>
              </w:rPr>
              <w:t>县级粮食储备项目由局粮食调控和储备股负责组织，岳阳县荣家湾粮库有限公司具体实施；</w:t>
            </w:r>
            <w:r>
              <w:rPr>
                <w:rFonts w:hint="eastAsia" w:ascii="仿宋" w:hAnsi="仿宋" w:eastAsia="仿宋" w:cs="仿宋"/>
                <w:bCs/>
                <w:color w:val="000000" w:themeColor="text1"/>
                <w:sz w:val="28"/>
                <w:szCs w:val="28"/>
                <w:lang w:val="en-US" w:eastAsia="zh-CN"/>
                <w14:textFill>
                  <w14:solidFill>
                    <w14:schemeClr w14:val="tx1"/>
                  </w14:solidFill>
                </w14:textFill>
              </w:rPr>
              <w:t xml:space="preserve"> </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2、粮食</w:t>
            </w:r>
            <w:r>
              <w:rPr>
                <w:rFonts w:hint="eastAsia" w:ascii="仿宋" w:hAnsi="仿宋" w:eastAsia="仿宋" w:cs="仿宋"/>
                <w:bCs/>
                <w:color w:val="000000" w:themeColor="text1"/>
                <w:sz w:val="28"/>
                <w:szCs w:val="28"/>
                <w:lang w:eastAsia="zh-CN"/>
                <w14:textFill>
                  <w14:solidFill>
                    <w14:schemeClr w14:val="tx1"/>
                  </w14:solidFill>
                </w14:textFill>
              </w:rPr>
              <w:t>改制经费项目由局粮食企业资产服务中心负责，购销公司配合开展工作。</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3、电子商务项目由局电子商务股负责农村电商公共服务中心、各个乡镇农村淘宝电商平台、邮乐购村级电商服务站和供销e家惠农服务站具体开展工作。</w:t>
            </w:r>
          </w:p>
          <w:p>
            <w:pPr>
              <w:keepNext w:val="0"/>
              <w:keepLines w:val="0"/>
              <w:pageBreakBefore w:val="0"/>
              <w:numPr>
                <w:ilvl w:val="0"/>
                <w:numId w:val="2"/>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专项管理情况分析</w:t>
            </w:r>
          </w:p>
          <w:p>
            <w:pPr>
              <w:keepNext w:val="0"/>
              <w:keepLines w:val="0"/>
              <w:pageBreakBefore w:val="0"/>
              <w:numPr>
                <w:ilvl w:val="0"/>
                <w:numId w:val="3"/>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专项资金安排落实、总投入等情况分析</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了加强对专项资金的管理，有效控制项目资金的投向和使用，最大限度地发挥项目资金使用效益，我局对专项资金进行全程跟踪管理，严格按照相关的资金管理制度和财务审批程序拨付和使用资金，确保了资金安全。在账务管理上，按项目单独设立专账，做到了专款专用:在资金拨付时，全部项目资金实行财政国库集中支付，全部采用转账方式进行支付，确保了资金的安全使用:在工程款拨付上，我局由分管局长、项目承担单位负责人和现场管理人员严格按照所签定的施工合同，根据工程的施工进度严格审查、分批付款;在资金管理上，严格按照省、市有关文件规定和国家有关财纪法律、法规规定的内容开支各项费用，随时掌握资金动态和使用范围，严格按照预算合理控制开支额度，使项目专项资金得到充分、合理、有效地使用。</w:t>
            </w:r>
            <w:r>
              <w:rPr>
                <w:rFonts w:hint="eastAsia" w:ascii="仿宋" w:hAnsi="仿宋" w:eastAsia="仿宋" w:cs="仿宋"/>
                <w:bCs/>
                <w:color w:val="000000" w:themeColor="text1"/>
                <w:sz w:val="28"/>
                <w:szCs w:val="28"/>
                <w:lang w:val="en-US" w:eastAsia="zh-CN"/>
                <w14:textFill>
                  <w14:solidFill>
                    <w14:schemeClr w14:val="tx1"/>
                  </w14:solidFill>
                </w14:textFill>
              </w:rPr>
              <w:t>2021年项目预算经费365万元，其中：荣家湾粮库县级粮食储备经费180万元，粮食改制经费131万元。</w:t>
            </w:r>
          </w:p>
          <w:p>
            <w:pPr>
              <w:keepNext w:val="0"/>
              <w:keepLines w:val="0"/>
              <w:pageBreakBefore w:val="0"/>
              <w:numPr>
                <w:ilvl w:val="0"/>
                <w:numId w:val="3"/>
              </w:numPr>
              <w:kinsoku/>
              <w:wordWrap/>
              <w:overflowPunct/>
              <w:topLinePunct w:val="0"/>
              <w:autoSpaceDE/>
              <w:bidi w:val="0"/>
              <w:adjustRightInd/>
              <w:snapToGrid/>
              <w:spacing w:line="460" w:lineRule="exact"/>
              <w:ind w:left="0" w:leftChars="0" w:firstLine="560" w:firstLineChars="200"/>
              <w:outlineLvl w:val="9"/>
              <w:rPr>
                <w:rFonts w:hint="eastAsia" w:ascii="仿宋" w:hAnsi="仿宋" w:eastAsia="仿宋" w:cs="仿宋"/>
                <w:bCs/>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专项资金实际使用情况分析</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2021年专项资金实际使用情况：荣家湾粮库县级粮食储备经费预算拨付180万元，实际使用180万元；粮食改制经费预算拨付131万元，实际使用418.89万元。由于财政预算经费有限，局机关财力不足，致使项目经费短缺。</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3、专项资金管理情况分析</w:t>
            </w:r>
          </w:p>
          <w:p>
            <w:pPr>
              <w:keepNext w:val="0"/>
              <w:keepLines w:val="0"/>
              <w:pageBreakBefore w:val="0"/>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为了加强对专项资金的管理，做到依法、依规、合理地安排和使用专项资金，根据上级主管部门和相关部门对专项资金的规定，我局从建立健全专项资金管理制度、资金安排、资金监督和管理、资金使用的绩效评价等方面入手，全面加强对专项资金的管理，先后制订了《专项资金使用管理暂行办法》等资金管理制度，从资金申请、安排、拨付、审批、监管等多方面进行管理，以确保项目资金在健全、有序的管理制度下运行。</w:t>
            </w:r>
          </w:p>
          <w:p>
            <w:pPr>
              <w:keepNext w:val="0"/>
              <w:keepLines w:val="0"/>
              <w:pageBreakBefore w:val="0"/>
              <w:numPr>
                <w:ilvl w:val="0"/>
                <w:numId w:val="4"/>
              </w:numPr>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000000" w:themeColor="text1"/>
                <w:sz w:val="28"/>
                <w:szCs w:val="28"/>
                <w14:textFill>
                  <w14:solidFill>
                    <w14:schemeClr w14:val="tx1"/>
                  </w14:solidFill>
                </w14:textFill>
              </w:rPr>
            </w:pPr>
            <w:r>
              <w:rPr>
                <w:rFonts w:hint="eastAsia" w:ascii="黑体" w:hAnsi="黑体" w:eastAsia="黑体" w:cs="黑体"/>
                <w:bCs/>
                <w:color w:val="000000" w:themeColor="text1"/>
                <w:sz w:val="28"/>
                <w:szCs w:val="28"/>
                <w14:textFill>
                  <w14:solidFill>
                    <w14:schemeClr w14:val="tx1"/>
                  </w14:solidFill>
                </w14:textFill>
              </w:rPr>
              <w:t>部门（单位）整体支出绩效情况</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一、经济效益：</w:t>
            </w:r>
            <w:r>
              <w:rPr>
                <w:rFonts w:hint="eastAsia" w:ascii="仿宋" w:hAnsi="仿宋" w:eastAsia="仿宋" w:cs="仿宋"/>
                <w:color w:val="000000" w:themeColor="text1"/>
                <w:sz w:val="28"/>
                <w:szCs w:val="28"/>
                <w14:textFill>
                  <w14:solidFill>
                    <w14:schemeClr w14:val="tx1"/>
                  </w14:solidFill>
                </w14:textFill>
              </w:rPr>
              <w:t>“洞庭湖”大米品牌创造的经济效益</w:t>
            </w:r>
            <w:r>
              <w:rPr>
                <w:rFonts w:hint="eastAsia" w:ascii="仿宋" w:hAnsi="仿宋" w:eastAsia="仿宋" w:cs="仿宋"/>
                <w:color w:val="000000" w:themeColor="text1"/>
                <w:sz w:val="28"/>
                <w:szCs w:val="28"/>
                <w:lang w:eastAsia="zh-CN"/>
                <w14:textFill>
                  <w14:solidFill>
                    <w14:schemeClr w14:val="tx1"/>
                  </w14:solidFill>
                </w14:textFill>
              </w:rPr>
              <w:t>明显。</w:t>
            </w:r>
          </w:p>
          <w:p>
            <w:pPr>
              <w:keepNext w:val="0"/>
              <w:keepLines w:val="0"/>
              <w:pageBreakBefore w:val="0"/>
              <w:kinsoku/>
              <w:wordWrap/>
              <w:overflowPunct/>
              <w:topLinePunct w:val="0"/>
              <w:autoSpaceDE/>
              <w:bidi w:val="0"/>
              <w:adjustRightInd/>
              <w:snapToGrid/>
              <w:spacing w:line="460" w:lineRule="exact"/>
              <w:ind w:firstLine="560" w:firstLineChars="200"/>
              <w:jc w:val="both"/>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二、</w:t>
            </w:r>
            <w:r>
              <w:rPr>
                <w:rFonts w:hint="eastAsia" w:ascii="仿宋" w:hAnsi="仿宋" w:eastAsia="仿宋" w:cs="仿宋"/>
                <w:color w:val="000000" w:themeColor="text1"/>
                <w:sz w:val="28"/>
                <w:szCs w:val="28"/>
                <w14:textFill>
                  <w14:solidFill>
                    <w14:schemeClr w14:val="tx1"/>
                  </w14:solidFill>
                </w14:textFill>
              </w:rPr>
              <w:t>社会效益</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执行国家最低价粮食收购政策，敞开收购，保护农民利益，使农民增产增收</w:t>
            </w:r>
            <w:r>
              <w:rPr>
                <w:rFonts w:hint="eastAsia" w:ascii="仿宋" w:hAnsi="仿宋" w:eastAsia="仿宋" w:cs="仿宋"/>
                <w:color w:val="000000" w:themeColor="text1"/>
                <w:sz w:val="28"/>
                <w:szCs w:val="28"/>
                <w:lang w:eastAsia="zh-CN"/>
                <w14:textFill>
                  <w14:solidFill>
                    <w14:schemeClr w14:val="tx1"/>
                  </w14:solidFill>
                </w14:textFill>
              </w:rPr>
              <w:t>。稳定粮食市场，保障粮食安全，保证县域内居民口粮供应，提高抗灾能力。</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jc w:val="both"/>
              <w:outlineLvl w:val="9"/>
              <w:rPr>
                <w:rFonts w:hint="eastAsia" w:ascii="仿宋" w:hAnsi="仿宋" w:eastAsia="仿宋" w:cs="仿宋"/>
                <w:color w:val="000000" w:themeColor="text1"/>
                <w:sz w:val="28"/>
                <w:szCs w:val="28"/>
                <w:lang w:eastAsia="zh-CN"/>
                <w14:textFill>
                  <w14:solidFill>
                    <w14:schemeClr w14:val="tx1"/>
                  </w14:solidFill>
                </w14:textFill>
              </w:rPr>
            </w:pPr>
            <w:r>
              <w:rPr>
                <w:rFonts w:hint="eastAsia" w:ascii="仿宋" w:hAnsi="仿宋" w:eastAsia="仿宋" w:cs="仿宋"/>
                <w:color w:val="000000" w:themeColor="text1"/>
                <w:sz w:val="28"/>
                <w:szCs w:val="28"/>
                <w:lang w:eastAsia="zh-CN"/>
                <w14:textFill>
                  <w14:solidFill>
                    <w14:schemeClr w14:val="tx1"/>
                  </w14:solidFill>
                </w14:textFill>
              </w:rPr>
              <w:t>三、</w:t>
            </w:r>
            <w:r>
              <w:rPr>
                <w:rFonts w:hint="eastAsia" w:ascii="仿宋" w:hAnsi="仿宋" w:eastAsia="仿宋" w:cs="仿宋"/>
                <w:color w:val="000000" w:themeColor="text1"/>
                <w:sz w:val="28"/>
                <w:szCs w:val="28"/>
                <w14:textFill>
                  <w14:solidFill>
                    <w14:schemeClr w14:val="tx1"/>
                  </w14:solidFill>
                </w14:textFill>
              </w:rPr>
              <w:t>生态效益</w:t>
            </w:r>
            <w:r>
              <w:rPr>
                <w:rFonts w:hint="eastAsia" w:ascii="仿宋" w:hAnsi="仿宋" w:eastAsia="仿宋" w:cs="仿宋"/>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储粮工艺优化，节能减排增效降耗</w:t>
            </w:r>
            <w:r>
              <w:rPr>
                <w:rFonts w:hint="eastAsia" w:ascii="仿宋" w:hAnsi="仿宋" w:eastAsia="仿宋" w:cs="仿宋"/>
                <w:color w:val="000000" w:themeColor="text1"/>
                <w:sz w:val="28"/>
                <w:szCs w:val="28"/>
                <w:lang w:eastAsia="zh-CN"/>
                <w14:textFill>
                  <w14:solidFill>
                    <w14:schemeClr w14:val="tx1"/>
                  </w14:solidFill>
                </w14:textFill>
              </w:rPr>
              <w:t>。</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auto"/>
                <w:sz w:val="28"/>
                <w:szCs w:val="28"/>
              </w:rPr>
            </w:pPr>
            <w:r>
              <w:rPr>
                <w:rFonts w:hint="eastAsia" w:ascii="黑体" w:hAnsi="黑体" w:eastAsia="黑体" w:cs="黑体"/>
                <w:bCs/>
                <w:color w:val="auto"/>
                <w:sz w:val="28"/>
                <w:szCs w:val="28"/>
                <w:lang w:eastAsia="zh-CN"/>
              </w:rPr>
              <w:t>五、</w:t>
            </w:r>
            <w:r>
              <w:rPr>
                <w:rFonts w:hint="eastAsia" w:ascii="黑体" w:hAnsi="黑体" w:eastAsia="黑体" w:cs="黑体"/>
                <w:bCs/>
                <w:color w:val="auto"/>
                <w:sz w:val="28"/>
                <w:szCs w:val="28"/>
              </w:rPr>
              <w:t>存在的主要问题</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rPr>
              <w:t>（一）外贸企业规模小</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rPr>
              <w:t>我县工业基础薄弱，发展开放型经济起步较迟，外贸企业少，外贸企业主体不强，没有大型骨干企业支撑，企业出口产品单一，高附加值产品少，品牌不强，产品科技含量不高，市场占有份额少，很难进入欧美高端市场。</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rPr>
              <w:t>（二）商贸企业发展不平衡</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lang w:val="en-US" w:eastAsia="zh-CN"/>
              </w:rPr>
            </w:pPr>
            <w:r>
              <w:rPr>
                <w:rFonts w:hint="eastAsia" w:ascii="仿宋" w:hAnsi="仿宋" w:eastAsia="仿宋" w:cs="仿宋"/>
                <w:bCs/>
                <w:color w:val="auto"/>
                <w:sz w:val="28"/>
                <w:szCs w:val="28"/>
              </w:rPr>
              <w:t>商贸企业规模小、集中度低。目前在库企业规模整体呈散小、微弱状态，竞争力不强，企业间关联度及现代化、信息化和管理水平均不高。我县缺少大型购物消费综合体，消费外流现象严重，在一定程度上影响了我县消费品市场的增长</w:t>
            </w:r>
            <w:r>
              <w:rPr>
                <w:rFonts w:hint="eastAsia" w:ascii="仿宋" w:hAnsi="仿宋" w:eastAsia="仿宋" w:cs="仿宋"/>
                <w:bCs/>
                <w:color w:val="auto"/>
                <w:sz w:val="28"/>
                <w:szCs w:val="28"/>
                <w:lang w:eastAsia="zh-CN"/>
              </w:rPr>
              <w:t>。</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rPr>
              <w:t>（三）人才短缺</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rPr>
              <w:t>一是外贸人才短缺，我县外贸企业规模小，难以引进高素质外贸专业人才，部分企业外贸人才没有得到系统的培训，专业知识更新不快，严重制约了我县外贸企业的发展；二是网销人才短缺，我县电商从业人员多数都是传统企业人员转身，网络营销人才严重缺乏，影响了电商产业快速发展，制约了农产品的上行。三是粮食从业人员中存在着专业技术人才奇缺、低年龄段人员偏少、文化程度偏低等问题</w:t>
            </w:r>
            <w:r>
              <w:rPr>
                <w:rFonts w:hint="eastAsia" w:ascii="仿宋" w:hAnsi="仿宋" w:eastAsia="仿宋" w:cs="仿宋"/>
                <w:bCs/>
                <w:color w:val="auto"/>
                <w:sz w:val="28"/>
                <w:szCs w:val="28"/>
                <w:lang w:eastAsia="zh-CN"/>
              </w:rPr>
              <w:t>，</w:t>
            </w:r>
            <w:r>
              <w:rPr>
                <w:rFonts w:hint="eastAsia" w:ascii="仿宋" w:hAnsi="仿宋" w:eastAsia="仿宋" w:cs="仿宋"/>
                <w:bCs/>
                <w:color w:val="auto"/>
                <w:sz w:val="28"/>
                <w:szCs w:val="28"/>
              </w:rPr>
              <w:t>专业素质能力与新时期要求存在差距。</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rPr>
              <w:t>（四）农产品牌效应不强</w:t>
            </w:r>
          </w:p>
          <w:p>
            <w:pPr>
              <w:keepNext w:val="0"/>
              <w:keepLines w:val="0"/>
              <w:pageBreakBefore w:val="0"/>
              <w:numPr>
                <w:ilvl w:val="0"/>
                <w:numId w:val="0"/>
              </w:numPr>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rPr>
            </w:pPr>
            <w:r>
              <w:rPr>
                <w:rFonts w:hint="eastAsia" w:ascii="仿宋" w:hAnsi="仿宋" w:eastAsia="仿宋" w:cs="仿宋"/>
                <w:bCs/>
                <w:color w:val="auto"/>
                <w:sz w:val="28"/>
                <w:szCs w:val="28"/>
              </w:rPr>
              <w:t>一是物流配送体系不健全，农产品单对运输中的保存温度有一定的要求。二是我县农产品虽然十分丰富，但由于没有统一规划、科学种植，并且规模小、品种差，一时无法为县域内农产品办理网上销售的质量许可证，因此，大部分农产品不能线上销售，只能采取线上定购线下交易的办法进行，严重制约了我县农产品上行步伐。</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黑体" w:hAnsi="黑体" w:eastAsia="黑体" w:cs="黑体"/>
                <w:bCs/>
                <w:color w:val="auto"/>
                <w:sz w:val="28"/>
                <w:szCs w:val="28"/>
              </w:rPr>
            </w:pPr>
            <w:r>
              <w:rPr>
                <w:rFonts w:hint="eastAsia" w:ascii="黑体" w:hAnsi="黑体" w:eastAsia="黑体" w:cs="黑体"/>
                <w:bCs/>
                <w:color w:val="auto"/>
                <w:sz w:val="28"/>
                <w:szCs w:val="28"/>
              </w:rPr>
              <w:t>六、改进措施和有关建议</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eastAsia="zh-CN"/>
                <w14:textFill>
                  <w14:solidFill>
                    <w14:schemeClr w14:val="tx1"/>
                  </w14:solidFill>
                </w14:textFill>
              </w:rPr>
            </w:pPr>
            <w:r>
              <w:rPr>
                <w:rFonts w:hint="eastAsia" w:ascii="仿宋" w:hAnsi="仿宋" w:eastAsia="仿宋" w:cs="仿宋"/>
                <w:bCs/>
                <w:color w:val="000000" w:themeColor="text1"/>
                <w:sz w:val="28"/>
                <w:szCs w:val="28"/>
                <w14:textFill>
                  <w14:solidFill>
                    <w14:schemeClr w14:val="tx1"/>
                  </w14:solidFill>
                </w14:textFill>
              </w:rPr>
              <w:t>1、</w:t>
            </w:r>
            <w:r>
              <w:rPr>
                <w:rFonts w:hint="eastAsia" w:ascii="仿宋" w:hAnsi="仿宋" w:eastAsia="仿宋" w:cs="仿宋"/>
                <w:bCs/>
                <w:color w:val="000000" w:themeColor="text1"/>
                <w:sz w:val="28"/>
                <w:szCs w:val="28"/>
                <w:lang w:val="en-US" w:eastAsia="zh-CN"/>
                <w14:textFill>
                  <w14:solidFill>
                    <w14:schemeClr w14:val="tx1"/>
                  </w14:solidFill>
                </w14:textFill>
              </w:rPr>
              <w:t>加强预算管理，进一步细化预算支出科目，严格按照年初预算控制支出，</w:t>
            </w:r>
            <w:r>
              <w:rPr>
                <w:rFonts w:hint="eastAsia" w:ascii="仿宋" w:hAnsi="仿宋" w:eastAsia="仿宋" w:cs="仿宋"/>
                <w:bCs/>
                <w:color w:val="000000" w:themeColor="text1"/>
                <w:sz w:val="28"/>
                <w:szCs w:val="28"/>
                <w:lang w:eastAsia="zh-CN"/>
                <w14:textFill>
                  <w14:solidFill>
                    <w14:schemeClr w14:val="tx1"/>
                  </w14:solidFill>
                </w14:textFill>
              </w:rPr>
              <w:t>严格控制非生产性支出。</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000000" w:themeColor="text1"/>
                <w:sz w:val="28"/>
                <w:szCs w:val="28"/>
                <w:lang w:val="en-US" w:eastAsia="zh-CN"/>
                <w14:textFill>
                  <w14:solidFill>
                    <w14:schemeClr w14:val="tx1"/>
                  </w14:solidFill>
                </w14:textFill>
              </w:rPr>
            </w:pPr>
            <w:r>
              <w:rPr>
                <w:rFonts w:hint="eastAsia" w:ascii="仿宋" w:hAnsi="仿宋" w:eastAsia="仿宋" w:cs="仿宋"/>
                <w:bCs/>
                <w:color w:val="000000" w:themeColor="text1"/>
                <w:sz w:val="28"/>
                <w:szCs w:val="28"/>
                <w:lang w:val="en-US" w:eastAsia="zh-CN"/>
                <w14:textFill>
                  <w14:solidFill>
                    <w14:schemeClr w14:val="tx1"/>
                  </w14:solidFill>
                </w14:textFill>
              </w:rPr>
              <w:t>2、建议县财政将我局干部职工全部纳入财政预算，增加财政预算拨款。</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auto"/>
                <w:sz w:val="28"/>
                <w:szCs w:val="28"/>
                <w:lang w:eastAsia="zh-CN"/>
              </w:rPr>
            </w:pPr>
            <w:r>
              <w:rPr>
                <w:rFonts w:hint="eastAsia" w:ascii="仿宋" w:hAnsi="仿宋" w:eastAsia="仿宋" w:cs="仿宋"/>
                <w:bCs/>
                <w:color w:val="000000" w:themeColor="text1"/>
                <w:sz w:val="28"/>
                <w:szCs w:val="28"/>
                <w:lang w:val="en-US" w:eastAsia="zh-CN"/>
                <w14:textFill>
                  <w14:solidFill>
                    <w14:schemeClr w14:val="tx1"/>
                  </w14:solidFill>
                </w14:textFill>
              </w:rPr>
              <w:t>3、</w:t>
            </w:r>
            <w:r>
              <w:rPr>
                <w:rFonts w:hint="eastAsia" w:ascii="仿宋" w:hAnsi="仿宋" w:eastAsia="仿宋" w:cs="仿宋"/>
                <w:bCs/>
                <w:color w:val="000000" w:themeColor="text1"/>
                <w:sz w:val="28"/>
                <w:szCs w:val="28"/>
                <w14:textFill>
                  <w14:solidFill>
                    <w14:schemeClr w14:val="tx1"/>
                  </w14:solidFill>
                </w14:textFill>
              </w:rPr>
              <w:t>加强对粮食工作的领导，按照粮食</w:t>
            </w:r>
            <w:r>
              <w:rPr>
                <w:rFonts w:hint="eastAsia" w:ascii="仿宋" w:hAnsi="仿宋" w:eastAsia="仿宋" w:cs="仿宋"/>
                <w:bCs/>
                <w:color w:val="000000" w:themeColor="text1"/>
                <w:sz w:val="28"/>
                <w:szCs w:val="28"/>
                <w:lang w:eastAsia="zh-CN"/>
                <w14:textFill>
                  <w14:solidFill>
                    <w14:schemeClr w14:val="tx1"/>
                  </w14:solidFill>
                </w14:textFill>
              </w:rPr>
              <w:t>安全</w:t>
            </w:r>
            <w:r>
              <w:rPr>
                <w:rFonts w:hint="eastAsia" w:ascii="仿宋" w:hAnsi="仿宋" w:eastAsia="仿宋" w:cs="仿宋"/>
                <w:bCs/>
                <w:color w:val="auto"/>
                <w:sz w:val="28"/>
                <w:szCs w:val="28"/>
                <w:lang w:eastAsia="zh-CN"/>
              </w:rPr>
              <w:t>党政同责</w:t>
            </w:r>
            <w:r>
              <w:rPr>
                <w:rFonts w:hint="eastAsia" w:ascii="仿宋" w:hAnsi="仿宋" w:eastAsia="仿宋" w:cs="仿宋"/>
                <w:bCs/>
                <w:color w:val="auto"/>
                <w:sz w:val="28"/>
                <w:szCs w:val="28"/>
              </w:rPr>
              <w:t>的要求,强化工作职责，落实工作方案，全面完成粮食收购、储存工作任务</w:t>
            </w:r>
            <w:r>
              <w:rPr>
                <w:rFonts w:hint="eastAsia" w:ascii="仿宋" w:hAnsi="仿宋" w:eastAsia="仿宋" w:cs="仿宋"/>
                <w:bCs/>
                <w:color w:val="auto"/>
                <w:sz w:val="28"/>
                <w:szCs w:val="28"/>
                <w:lang w:eastAsia="zh-CN"/>
              </w:rPr>
              <w:t>。建议县财政适当增加县级储备粮专项经费补贴，确保我县粮食安全。</w:t>
            </w:r>
          </w:p>
          <w:p>
            <w:pPr>
              <w:keepNext w:val="0"/>
              <w:keepLines w:val="0"/>
              <w:pageBreakBefore w:val="0"/>
              <w:widowControl/>
              <w:kinsoku/>
              <w:wordWrap/>
              <w:overflowPunct/>
              <w:topLinePunct w:val="0"/>
              <w:autoSpaceDE/>
              <w:bidi w:val="0"/>
              <w:adjustRightInd/>
              <w:snapToGrid/>
              <w:spacing w:line="460" w:lineRule="exact"/>
              <w:ind w:firstLine="560" w:firstLineChars="200"/>
              <w:outlineLvl w:val="9"/>
              <w:rPr>
                <w:rFonts w:hint="eastAsia" w:ascii="仿宋" w:hAnsi="仿宋" w:eastAsia="仿宋" w:cs="仿宋"/>
                <w:bCs/>
                <w:color w:val="FF0000"/>
                <w:sz w:val="28"/>
                <w:szCs w:val="28"/>
                <w:lang w:val="en-US" w:eastAsia="zh-CN"/>
              </w:rPr>
            </w:pPr>
            <w:r>
              <w:rPr>
                <w:rFonts w:hint="eastAsia" w:ascii="仿宋" w:hAnsi="仿宋" w:eastAsia="仿宋" w:cs="仿宋"/>
                <w:bCs/>
                <w:color w:val="FF0000"/>
                <w:sz w:val="28"/>
                <w:szCs w:val="28"/>
                <w:lang w:val="en-US" w:eastAsia="zh-CN"/>
              </w:rPr>
              <w:t xml:space="preserve">                                               </w:t>
            </w:r>
          </w:p>
          <w:p>
            <w:pPr>
              <w:keepNext w:val="0"/>
              <w:keepLines w:val="0"/>
              <w:pageBreakBefore w:val="0"/>
              <w:widowControl/>
              <w:kinsoku/>
              <w:wordWrap/>
              <w:overflowPunct/>
              <w:topLinePunct w:val="0"/>
              <w:autoSpaceDE/>
              <w:bidi w:val="0"/>
              <w:adjustRightInd/>
              <w:snapToGrid/>
              <w:spacing w:line="460" w:lineRule="exact"/>
              <w:rPr>
                <w:rFonts w:hint="eastAsia" w:ascii="仿宋" w:hAnsi="仿宋" w:eastAsia="仿宋" w:cs="仿宋"/>
                <w:bCs/>
                <w:sz w:val="28"/>
                <w:szCs w:val="28"/>
                <w:lang w:val="en-US" w:eastAsia="zh-CN"/>
              </w:rPr>
            </w:pPr>
          </w:p>
          <w:p>
            <w:pPr>
              <w:keepNext w:val="0"/>
              <w:keepLines w:val="0"/>
              <w:pageBreakBefore w:val="0"/>
              <w:kinsoku/>
              <w:wordWrap/>
              <w:overflowPunct/>
              <w:topLinePunct w:val="0"/>
              <w:autoSpaceDE/>
              <w:bidi w:val="0"/>
              <w:adjustRightInd/>
              <w:snapToGrid/>
              <w:spacing w:line="460" w:lineRule="exact"/>
              <w:rPr>
                <w:rFonts w:eastAsia="楷体_GB2312"/>
                <w:bCs/>
                <w:sz w:val="28"/>
                <w:szCs w:val="28"/>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altName w:val="Arial Unicode MS"/>
    <w:panose1 w:val="02010601030101010101"/>
    <w:charset w:val="86"/>
    <w:family w:val="auto"/>
    <w:pitch w:val="default"/>
    <w:sig w:usb0="00000000" w:usb1="00000000" w:usb2="0000001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1AEC95"/>
    <w:multiLevelType w:val="singleLevel"/>
    <w:tmpl w:val="8A1AEC95"/>
    <w:lvl w:ilvl="0" w:tentative="0">
      <w:start w:val="4"/>
      <w:numFmt w:val="chineseCounting"/>
      <w:suff w:val="nothing"/>
      <w:lvlText w:val="%1、"/>
      <w:lvlJc w:val="left"/>
      <w:rPr>
        <w:rFonts w:hint="eastAsia"/>
      </w:rPr>
    </w:lvl>
  </w:abstractNum>
  <w:abstractNum w:abstractNumId="1">
    <w:nsid w:val="CD2E28B9"/>
    <w:multiLevelType w:val="singleLevel"/>
    <w:tmpl w:val="CD2E28B9"/>
    <w:lvl w:ilvl="0" w:tentative="0">
      <w:start w:val="1"/>
      <w:numFmt w:val="decimal"/>
      <w:suff w:val="nothing"/>
      <w:lvlText w:val="%1、"/>
      <w:lvlJc w:val="left"/>
    </w:lvl>
  </w:abstractNum>
  <w:abstractNum w:abstractNumId="2">
    <w:nsid w:val="1EE29451"/>
    <w:multiLevelType w:val="singleLevel"/>
    <w:tmpl w:val="1EE29451"/>
    <w:lvl w:ilvl="0" w:tentative="0">
      <w:start w:val="2"/>
      <w:numFmt w:val="chineseCounting"/>
      <w:suff w:val="nothing"/>
      <w:lvlText w:val="（%1）"/>
      <w:lvlJc w:val="left"/>
      <w:rPr>
        <w:rFonts w:hint="eastAsia"/>
      </w:rPr>
    </w:lvl>
  </w:abstractNum>
  <w:abstractNum w:abstractNumId="3">
    <w:nsid w:val="223F4E00"/>
    <w:multiLevelType w:val="singleLevel"/>
    <w:tmpl w:val="223F4E00"/>
    <w:lvl w:ilvl="0" w:tentative="0">
      <w:start w:val="1"/>
      <w:numFmt w:val="decimal"/>
      <w:suff w:val="nothing"/>
      <w:lvlText w:val="%1、"/>
      <w:lvlJc w:val="left"/>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BiMTk5ZGJhYTk5NjBmYTQ4NWJhYmQ2YWI3OGM4ZTMifQ=="/>
  </w:docVars>
  <w:rsids>
    <w:rsidRoot w:val="0A1A313F"/>
    <w:rsid w:val="06C87000"/>
    <w:rsid w:val="0A1A313F"/>
    <w:rsid w:val="0A533FDD"/>
    <w:rsid w:val="0C7E3877"/>
    <w:rsid w:val="0D874C5B"/>
    <w:rsid w:val="1366795F"/>
    <w:rsid w:val="14AD1543"/>
    <w:rsid w:val="19422E64"/>
    <w:rsid w:val="1B9719D0"/>
    <w:rsid w:val="1EA62ED2"/>
    <w:rsid w:val="23845D9E"/>
    <w:rsid w:val="2B247840"/>
    <w:rsid w:val="2BEA2ED3"/>
    <w:rsid w:val="2D20037D"/>
    <w:rsid w:val="32D875C8"/>
    <w:rsid w:val="349211B7"/>
    <w:rsid w:val="356111CA"/>
    <w:rsid w:val="370E1E08"/>
    <w:rsid w:val="37EB05DA"/>
    <w:rsid w:val="3A4D5720"/>
    <w:rsid w:val="3A7D1496"/>
    <w:rsid w:val="3BAE6861"/>
    <w:rsid w:val="3E107914"/>
    <w:rsid w:val="3ED62761"/>
    <w:rsid w:val="40DE69C4"/>
    <w:rsid w:val="4B591B02"/>
    <w:rsid w:val="4FA0745D"/>
    <w:rsid w:val="522C0AC0"/>
    <w:rsid w:val="55133157"/>
    <w:rsid w:val="5CAD5ED1"/>
    <w:rsid w:val="5D8F040A"/>
    <w:rsid w:val="5E2430CD"/>
    <w:rsid w:val="5FC64C01"/>
    <w:rsid w:val="60DB3631"/>
    <w:rsid w:val="661871B9"/>
    <w:rsid w:val="666741CE"/>
    <w:rsid w:val="66F217FA"/>
    <w:rsid w:val="775D5A0F"/>
    <w:rsid w:val="7B931F32"/>
    <w:rsid w:val="7C987027"/>
    <w:rsid w:val="7EFD2393"/>
    <w:rsid w:val="7F4579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5129</Words>
  <Characters>5582</Characters>
  <Lines>0</Lines>
  <Paragraphs>0</Paragraphs>
  <TotalTime>55</TotalTime>
  <ScaleCrop>false</ScaleCrop>
  <LinksUpToDate>false</LinksUpToDate>
  <CharactersWithSpaces>6019</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2021-07-23T07:46:00Z</dcterms:created>
  <dc:creator>Administrator</dc:creator>
  <cp:lastModifiedBy>Administrator</cp:lastModifiedBy>
  <cp:lastPrinted>2022-06-20T01:55:00Z</cp:lastPrinted>
  <dcterms:modified xsi:type="dcterms:W3CDTF">2022-10-26T07:38:51Z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C13F100627DD4C8485C01E9B5FFB92E6</vt:lpwstr>
  </property>
</Properties>
</file>