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left="2077" w:leftChars="494" w:hanging="1040" w:hangingChars="200"/>
        <w:rPr>
          <w:rFonts w:eastAsia="Times New Roman"/>
          <w:color w:val="000000"/>
          <w:kern w:val="0"/>
          <w:sz w:val="52"/>
          <w:szCs w:val="24"/>
        </w:rPr>
      </w:pPr>
      <w:r>
        <w:rPr>
          <w:rFonts w:ascii="黑体" w:eastAsia="黑体"/>
          <w:color w:val="000000"/>
          <w:kern w:val="0"/>
          <w:sz w:val="52"/>
          <w:szCs w:val="24"/>
        </w:rPr>
        <w:t>2021</w:t>
      </w:r>
      <w:r>
        <w:rPr>
          <w:rFonts w:hint="eastAsia" w:ascii="黑体" w:eastAsia="黑体"/>
          <w:color w:val="000000"/>
          <w:kern w:val="0"/>
          <w:sz w:val="52"/>
          <w:szCs w:val="24"/>
        </w:rPr>
        <w:t>年度岳阳县水资源与</w:t>
      </w:r>
      <w:r>
        <w:rPr>
          <w:rFonts w:hint="eastAsia" w:eastAsia="黑体"/>
          <w:color w:val="000000"/>
          <w:kern w:val="0"/>
          <w:sz w:val="52"/>
          <w:szCs w:val="24"/>
        </w:rPr>
        <w:t>水土保持</w:t>
      </w:r>
      <w:r>
        <w:rPr>
          <w:rFonts w:hint="eastAsia" w:ascii="黑体" w:eastAsia="黑体"/>
          <w:color w:val="000000"/>
          <w:kern w:val="0"/>
          <w:sz w:val="52"/>
          <w:szCs w:val="24"/>
        </w:rPr>
        <w:t>监测中心部门决算</w:t>
      </w:r>
    </w:p>
    <w:p>
      <w:pPr>
        <w:autoSpaceDE w:val="0"/>
        <w:autoSpaceDN w:val="0"/>
        <w:adjustRightInd w:val="0"/>
        <w:spacing w:line="520" w:lineRule="exact"/>
        <w:ind w:firstLine="883" w:firstLineChars="200"/>
        <w:jc w:val="center"/>
        <w:rPr>
          <w:rFonts w:ascii="宋体"/>
          <w:b/>
          <w:color w:val="000000"/>
          <w:kern w:val="0"/>
          <w:sz w:val="44"/>
          <w:szCs w:val="24"/>
        </w:rPr>
      </w:pPr>
    </w:p>
    <w:p>
      <w:pPr>
        <w:autoSpaceDE w:val="0"/>
        <w:autoSpaceDN w:val="0"/>
        <w:adjustRightInd w:val="0"/>
        <w:spacing w:line="520" w:lineRule="exact"/>
        <w:ind w:firstLine="883" w:firstLineChars="200"/>
        <w:jc w:val="center"/>
        <w:rPr>
          <w:rFonts w:ascii="宋体"/>
          <w:b/>
          <w:color w:val="000000"/>
          <w:kern w:val="0"/>
          <w:sz w:val="44"/>
          <w:szCs w:val="24"/>
        </w:rPr>
      </w:pPr>
      <w:r>
        <w:rPr>
          <w:rFonts w:hint="eastAsia" w:ascii="宋体"/>
          <w:b/>
          <w:color w:val="000000"/>
          <w:kern w:val="0"/>
          <w:sz w:val="44"/>
          <w:szCs w:val="24"/>
        </w:rPr>
        <w:t>目录</w:t>
      </w:r>
    </w:p>
    <w:p>
      <w:pPr>
        <w:autoSpaceDE w:val="0"/>
        <w:autoSpaceDN w:val="0"/>
        <w:adjustRightInd w:val="0"/>
        <w:spacing w:line="520" w:lineRule="exact"/>
        <w:ind w:firstLine="562" w:firstLineChars="200"/>
        <w:jc w:val="left"/>
        <w:rPr>
          <w:rFonts w:eastAsia="Times New Roman"/>
          <w:b/>
          <w:color w:val="000000"/>
          <w:kern w:val="0"/>
          <w:sz w:val="28"/>
          <w:szCs w:val="24"/>
        </w:rPr>
      </w:pPr>
      <w:r>
        <w:rPr>
          <w:rFonts w:hint="eastAsia" w:ascii="黑体" w:eastAsia="黑体"/>
          <w:b/>
          <w:color w:val="000000"/>
          <w:kern w:val="0"/>
          <w:sz w:val="28"/>
          <w:szCs w:val="24"/>
        </w:rPr>
        <w:t>第一部分</w:t>
      </w:r>
      <w:r>
        <w:rPr>
          <w:rFonts w:hint="eastAsia" w:ascii="黑体" w:eastAsia="黑体"/>
          <w:b/>
          <w:sz w:val="28"/>
          <w:szCs w:val="24"/>
          <w:lang w:val="zh-CN"/>
        </w:rPr>
        <w:t>岳阳县水资源与水土保持监测中心单位</w:t>
      </w:r>
      <w:r>
        <w:rPr>
          <w:rFonts w:hint="eastAsia" w:ascii="黑体" w:eastAsia="黑体"/>
          <w:b/>
          <w:color w:val="000000"/>
          <w:kern w:val="0"/>
          <w:sz w:val="28"/>
          <w:szCs w:val="24"/>
        </w:rPr>
        <w:t>概况</w:t>
      </w:r>
    </w:p>
    <w:p>
      <w:pPr>
        <w:autoSpaceDE w:val="0"/>
        <w:autoSpaceDN w:val="0"/>
        <w:adjustRightInd w:val="0"/>
        <w:spacing w:line="520" w:lineRule="exact"/>
        <w:ind w:firstLine="560" w:firstLineChars="200"/>
        <w:jc w:val="left"/>
        <w:rPr>
          <w:rFonts w:eastAsia="Times New Roman"/>
          <w:color w:val="000000"/>
          <w:kern w:val="0"/>
          <w:sz w:val="28"/>
          <w:szCs w:val="24"/>
        </w:rPr>
      </w:pPr>
      <w:r>
        <w:rPr>
          <w:rFonts w:hint="eastAsia" w:ascii="宋体"/>
          <w:color w:val="000000"/>
          <w:kern w:val="0"/>
          <w:sz w:val="28"/>
          <w:szCs w:val="24"/>
        </w:rPr>
        <w:t>一、部门职责</w:t>
      </w:r>
    </w:p>
    <w:p>
      <w:pPr>
        <w:autoSpaceDE w:val="0"/>
        <w:autoSpaceDN w:val="0"/>
        <w:adjustRightInd w:val="0"/>
        <w:spacing w:line="520" w:lineRule="exact"/>
        <w:ind w:firstLine="560" w:firstLineChars="200"/>
        <w:jc w:val="left"/>
        <w:rPr>
          <w:rFonts w:ascii="宋体"/>
          <w:color w:val="000000"/>
          <w:kern w:val="0"/>
          <w:sz w:val="28"/>
          <w:szCs w:val="24"/>
        </w:rPr>
      </w:pPr>
      <w:r>
        <w:rPr>
          <w:rFonts w:hint="eastAsia" w:ascii="宋体"/>
          <w:color w:val="000000"/>
          <w:kern w:val="0"/>
          <w:sz w:val="28"/>
          <w:szCs w:val="24"/>
        </w:rPr>
        <w:t>二、机构设置</w:t>
      </w:r>
    </w:p>
    <w:p>
      <w:pPr>
        <w:autoSpaceDE w:val="0"/>
        <w:autoSpaceDN w:val="0"/>
        <w:adjustRightInd w:val="0"/>
        <w:spacing w:line="520" w:lineRule="exact"/>
        <w:ind w:firstLine="560" w:firstLineChars="200"/>
        <w:jc w:val="left"/>
        <w:rPr>
          <w:szCs w:val="24"/>
        </w:rPr>
      </w:pPr>
      <w:r>
        <w:rPr>
          <w:rFonts w:hint="eastAsia" w:ascii="宋体"/>
          <w:color w:val="000000"/>
          <w:kern w:val="0"/>
          <w:sz w:val="28"/>
          <w:szCs w:val="24"/>
        </w:rPr>
        <w:t>三、决算单位构成</w:t>
      </w:r>
    </w:p>
    <w:p>
      <w:pPr>
        <w:autoSpaceDE w:val="0"/>
        <w:autoSpaceDN w:val="0"/>
        <w:adjustRightInd w:val="0"/>
        <w:spacing w:line="520" w:lineRule="exact"/>
        <w:ind w:firstLine="562" w:firstLineChars="200"/>
        <w:jc w:val="left"/>
        <w:rPr>
          <w:rFonts w:eastAsia="Times New Roman"/>
          <w:b/>
          <w:color w:val="000000"/>
          <w:kern w:val="0"/>
          <w:sz w:val="28"/>
          <w:szCs w:val="24"/>
        </w:rPr>
      </w:pPr>
      <w:r>
        <w:rPr>
          <w:rFonts w:hint="eastAsia" w:ascii="黑体" w:eastAsia="黑体"/>
          <w:b/>
          <w:color w:val="000000"/>
          <w:kern w:val="0"/>
          <w:sz w:val="28"/>
          <w:szCs w:val="24"/>
        </w:rPr>
        <w:t>第二部分</w:t>
      </w:r>
      <w:r>
        <w:rPr>
          <w:rFonts w:ascii="黑体" w:eastAsia="黑体"/>
          <w:b/>
          <w:color w:val="000000"/>
          <w:kern w:val="0"/>
          <w:sz w:val="28"/>
          <w:szCs w:val="24"/>
        </w:rPr>
        <w:t>2021</w:t>
      </w:r>
      <w:r>
        <w:rPr>
          <w:rFonts w:hint="eastAsia" w:ascii="黑体" w:eastAsia="黑体"/>
          <w:b/>
          <w:color w:val="000000"/>
          <w:kern w:val="0"/>
          <w:sz w:val="28"/>
          <w:szCs w:val="24"/>
        </w:rPr>
        <w:t>年度部门决算表</w:t>
      </w:r>
    </w:p>
    <w:p>
      <w:pPr>
        <w:pStyle w:val="17"/>
        <w:spacing w:line="500" w:lineRule="exact"/>
        <w:ind w:firstLine="560" w:firstLineChars="200"/>
        <w:rPr>
          <w:rFonts w:ascii="宋体" w:hAnsi="宋体" w:eastAsia="宋体"/>
          <w:sz w:val="28"/>
        </w:rPr>
      </w:pPr>
      <w:r>
        <w:rPr>
          <w:rFonts w:hint="eastAsia" w:ascii="宋体" w:hAnsi="宋体" w:eastAsia="宋体"/>
          <w:sz w:val="28"/>
        </w:rPr>
        <w:t>一、收入支出决算总表</w:t>
      </w:r>
    </w:p>
    <w:p>
      <w:pPr>
        <w:pStyle w:val="17"/>
        <w:spacing w:line="500" w:lineRule="exact"/>
        <w:ind w:firstLine="560" w:firstLineChars="200"/>
        <w:rPr>
          <w:rFonts w:ascii="宋体" w:hAnsi="宋体" w:eastAsia="宋体"/>
          <w:sz w:val="28"/>
        </w:rPr>
      </w:pPr>
      <w:r>
        <w:rPr>
          <w:rFonts w:hint="eastAsia" w:ascii="宋体" w:hAnsi="宋体" w:eastAsia="宋体"/>
          <w:sz w:val="28"/>
        </w:rPr>
        <w:t>二、收入决算表</w:t>
      </w:r>
    </w:p>
    <w:p>
      <w:pPr>
        <w:pStyle w:val="17"/>
        <w:spacing w:line="500" w:lineRule="exact"/>
        <w:ind w:firstLine="560" w:firstLineChars="200"/>
        <w:rPr>
          <w:rFonts w:ascii="宋体" w:hAnsi="宋体" w:eastAsia="宋体"/>
          <w:sz w:val="28"/>
        </w:rPr>
      </w:pPr>
      <w:r>
        <w:rPr>
          <w:rFonts w:hint="eastAsia" w:ascii="宋体" w:hAnsi="宋体" w:eastAsia="宋体"/>
          <w:sz w:val="28"/>
        </w:rPr>
        <w:t>三、支出决算表</w:t>
      </w:r>
    </w:p>
    <w:p>
      <w:pPr>
        <w:pStyle w:val="17"/>
        <w:spacing w:line="500" w:lineRule="exact"/>
        <w:ind w:firstLine="560" w:firstLineChars="200"/>
        <w:rPr>
          <w:rFonts w:ascii="宋体" w:hAnsi="宋体" w:eastAsia="宋体"/>
          <w:sz w:val="28"/>
        </w:rPr>
      </w:pPr>
      <w:r>
        <w:rPr>
          <w:rFonts w:hint="eastAsia" w:ascii="宋体" w:hAnsi="宋体" w:eastAsia="宋体"/>
          <w:sz w:val="28"/>
        </w:rPr>
        <w:t>四、财政拨款收入支出决算总表</w:t>
      </w:r>
    </w:p>
    <w:p>
      <w:pPr>
        <w:pStyle w:val="17"/>
        <w:spacing w:line="500" w:lineRule="exact"/>
        <w:ind w:firstLine="560" w:firstLineChars="200"/>
        <w:rPr>
          <w:rFonts w:ascii="宋体" w:hAnsi="宋体" w:eastAsia="宋体"/>
          <w:sz w:val="28"/>
        </w:rPr>
      </w:pPr>
      <w:r>
        <w:rPr>
          <w:rFonts w:hint="eastAsia" w:ascii="宋体" w:hAnsi="宋体" w:eastAsia="宋体"/>
          <w:sz w:val="28"/>
        </w:rPr>
        <w:t>五、一般公共预算财政拨款支出决算表</w:t>
      </w:r>
    </w:p>
    <w:p>
      <w:pPr>
        <w:pStyle w:val="17"/>
        <w:spacing w:line="500" w:lineRule="exact"/>
        <w:ind w:firstLine="560" w:firstLineChars="200"/>
        <w:rPr>
          <w:rFonts w:ascii="宋体" w:hAnsi="宋体" w:eastAsia="宋体"/>
          <w:sz w:val="28"/>
        </w:rPr>
      </w:pPr>
      <w:r>
        <w:rPr>
          <w:rFonts w:hint="eastAsia" w:ascii="宋体" w:hAnsi="宋体" w:eastAsia="宋体"/>
          <w:sz w:val="28"/>
        </w:rPr>
        <w:t>六、一般公共预算财政拨款基本支出决算表</w:t>
      </w:r>
    </w:p>
    <w:p>
      <w:pPr>
        <w:pStyle w:val="17"/>
        <w:spacing w:line="500" w:lineRule="exact"/>
        <w:ind w:firstLine="560" w:firstLineChars="200"/>
        <w:rPr>
          <w:rFonts w:ascii="宋体" w:hAnsi="宋体" w:eastAsia="宋体"/>
          <w:sz w:val="28"/>
        </w:rPr>
      </w:pPr>
      <w:r>
        <w:rPr>
          <w:rFonts w:hint="eastAsia" w:ascii="宋体" w:hAnsi="宋体" w:eastAsia="宋体"/>
          <w:sz w:val="28"/>
        </w:rPr>
        <w:t>七、一般公共预算财政拨款“三公”经费支出决算表</w:t>
      </w:r>
    </w:p>
    <w:p>
      <w:pPr>
        <w:pStyle w:val="17"/>
        <w:spacing w:line="500" w:lineRule="exact"/>
        <w:ind w:firstLine="560" w:firstLineChars="200"/>
        <w:rPr>
          <w:rFonts w:ascii="宋体" w:hAnsi="宋体" w:eastAsia="宋体"/>
          <w:sz w:val="28"/>
        </w:rPr>
      </w:pPr>
      <w:r>
        <w:rPr>
          <w:rFonts w:hint="eastAsia" w:ascii="宋体" w:hAnsi="宋体" w:eastAsia="宋体"/>
          <w:sz w:val="28"/>
        </w:rPr>
        <w:t>八、政府性基金预算财政拨款收入支出决算表</w:t>
      </w:r>
    </w:p>
    <w:p>
      <w:pPr>
        <w:pStyle w:val="17"/>
        <w:spacing w:line="500" w:lineRule="exact"/>
        <w:ind w:firstLine="560" w:firstLineChars="200"/>
        <w:rPr>
          <w:sz w:val="28"/>
        </w:rPr>
      </w:pPr>
      <w:r>
        <w:rPr>
          <w:rFonts w:hint="eastAsia" w:ascii="宋体" w:hAnsi="宋体" w:eastAsia="宋体"/>
          <w:sz w:val="28"/>
        </w:rPr>
        <w:t>九、国有资本经营预算财政拨款支出决算表</w:t>
      </w:r>
    </w:p>
    <w:p>
      <w:pPr>
        <w:autoSpaceDE w:val="0"/>
        <w:autoSpaceDN w:val="0"/>
        <w:adjustRightInd w:val="0"/>
        <w:spacing w:line="520" w:lineRule="exact"/>
        <w:ind w:firstLine="562" w:firstLineChars="200"/>
        <w:jc w:val="left"/>
        <w:rPr>
          <w:rFonts w:eastAsia="Times New Roman"/>
          <w:b/>
          <w:color w:val="000000"/>
          <w:kern w:val="0"/>
          <w:sz w:val="28"/>
          <w:szCs w:val="24"/>
        </w:rPr>
      </w:pPr>
      <w:r>
        <w:rPr>
          <w:rFonts w:hint="eastAsia" w:ascii="黑体" w:eastAsia="黑体"/>
          <w:b/>
          <w:color w:val="000000"/>
          <w:kern w:val="0"/>
          <w:sz w:val="28"/>
          <w:szCs w:val="24"/>
        </w:rPr>
        <w:t>第三部分</w:t>
      </w:r>
      <w:r>
        <w:rPr>
          <w:rFonts w:ascii="黑体" w:eastAsia="黑体"/>
          <w:b/>
          <w:color w:val="000000"/>
          <w:kern w:val="0"/>
          <w:sz w:val="28"/>
          <w:szCs w:val="24"/>
        </w:rPr>
        <w:t>2021</w:t>
      </w:r>
      <w:r>
        <w:rPr>
          <w:rFonts w:hint="eastAsia" w:ascii="黑体" w:eastAsia="黑体"/>
          <w:b/>
          <w:color w:val="000000"/>
          <w:kern w:val="0"/>
          <w:sz w:val="28"/>
          <w:szCs w:val="24"/>
        </w:rPr>
        <w:t>年度部门决算情况说明</w:t>
      </w:r>
    </w:p>
    <w:p>
      <w:pPr>
        <w:pStyle w:val="17"/>
        <w:spacing w:line="500" w:lineRule="exact"/>
        <w:ind w:firstLine="560" w:firstLineChars="200"/>
        <w:rPr>
          <w:rFonts w:ascii="宋体" w:hAnsi="宋体" w:eastAsia="宋体"/>
          <w:sz w:val="28"/>
        </w:rPr>
      </w:pPr>
      <w:r>
        <w:rPr>
          <w:rFonts w:hint="eastAsia" w:ascii="宋体" w:hAnsi="宋体" w:eastAsia="宋体"/>
          <w:sz w:val="28"/>
        </w:rPr>
        <w:t>一、收入支出决算总体情况说明</w:t>
      </w:r>
    </w:p>
    <w:p>
      <w:pPr>
        <w:spacing w:line="500" w:lineRule="exact"/>
        <w:ind w:firstLine="560" w:firstLineChars="200"/>
        <w:jc w:val="left"/>
        <w:rPr>
          <w:rFonts w:ascii="仿宋_GB2312" w:eastAsia="仿宋_GB2312"/>
          <w:sz w:val="28"/>
          <w:szCs w:val="24"/>
        </w:rPr>
      </w:pPr>
      <w:r>
        <w:rPr>
          <w:rFonts w:hint="eastAsia" w:ascii="仿宋_GB2312" w:hAnsi="仿宋_GB2312"/>
          <w:sz w:val="28"/>
          <w:szCs w:val="24"/>
        </w:rPr>
        <w:t>二、收入决算情况说明</w:t>
      </w:r>
    </w:p>
    <w:p>
      <w:pPr>
        <w:autoSpaceDE w:val="0"/>
        <w:autoSpaceDN w:val="0"/>
        <w:adjustRightInd w:val="0"/>
        <w:spacing w:line="500" w:lineRule="exact"/>
        <w:ind w:firstLine="560" w:firstLineChars="200"/>
        <w:jc w:val="left"/>
        <w:rPr>
          <w:rFonts w:ascii="仿宋_GB2312" w:eastAsia="仿宋_GB2312"/>
          <w:color w:val="000000"/>
          <w:kern w:val="0"/>
          <w:sz w:val="28"/>
          <w:szCs w:val="24"/>
        </w:rPr>
      </w:pPr>
      <w:r>
        <w:rPr>
          <w:rFonts w:hint="eastAsia" w:ascii="仿宋_GB2312" w:hAnsi="仿宋_GB2312"/>
          <w:color w:val="000000"/>
          <w:kern w:val="0"/>
          <w:sz w:val="28"/>
          <w:szCs w:val="24"/>
        </w:rPr>
        <w:t>三、支出决算情况说明</w:t>
      </w:r>
    </w:p>
    <w:p>
      <w:pPr>
        <w:autoSpaceDE w:val="0"/>
        <w:autoSpaceDN w:val="0"/>
        <w:adjustRightInd w:val="0"/>
        <w:spacing w:line="500" w:lineRule="exact"/>
        <w:ind w:firstLine="560" w:firstLineChars="200"/>
        <w:jc w:val="left"/>
        <w:rPr>
          <w:rFonts w:ascii="仿宋_GB2312" w:eastAsia="仿宋_GB2312"/>
          <w:color w:val="000000"/>
          <w:kern w:val="0"/>
          <w:sz w:val="28"/>
          <w:szCs w:val="24"/>
        </w:rPr>
      </w:pPr>
      <w:r>
        <w:rPr>
          <w:rFonts w:hint="eastAsia" w:ascii="仿宋_GB2312" w:hAnsi="仿宋_GB2312"/>
          <w:color w:val="000000"/>
          <w:kern w:val="0"/>
          <w:sz w:val="28"/>
          <w:szCs w:val="24"/>
        </w:rPr>
        <w:t>四、财政拨款收入支出决算总体情况说明</w:t>
      </w:r>
    </w:p>
    <w:p>
      <w:pPr>
        <w:autoSpaceDE w:val="0"/>
        <w:autoSpaceDN w:val="0"/>
        <w:adjustRightInd w:val="0"/>
        <w:spacing w:line="500" w:lineRule="exact"/>
        <w:ind w:firstLine="560" w:firstLineChars="200"/>
        <w:jc w:val="left"/>
        <w:rPr>
          <w:rFonts w:ascii="仿宋_GB2312" w:eastAsia="仿宋_GB2312"/>
          <w:color w:val="000000"/>
          <w:kern w:val="0"/>
          <w:sz w:val="28"/>
          <w:szCs w:val="24"/>
        </w:rPr>
      </w:pPr>
      <w:r>
        <w:rPr>
          <w:rFonts w:hint="eastAsia" w:ascii="仿宋_GB2312" w:hAnsi="仿宋_GB2312"/>
          <w:color w:val="000000"/>
          <w:kern w:val="0"/>
          <w:sz w:val="28"/>
          <w:szCs w:val="24"/>
        </w:rPr>
        <w:t>五、一般公共预算财政拨款支出决算情况说明</w:t>
      </w:r>
    </w:p>
    <w:p>
      <w:pPr>
        <w:autoSpaceDE w:val="0"/>
        <w:autoSpaceDN w:val="0"/>
        <w:adjustRightInd w:val="0"/>
        <w:spacing w:line="500" w:lineRule="exact"/>
        <w:ind w:firstLine="560" w:firstLineChars="200"/>
        <w:jc w:val="left"/>
        <w:rPr>
          <w:rFonts w:ascii="仿宋_GB2312" w:eastAsia="仿宋_GB2312"/>
          <w:color w:val="000000"/>
          <w:kern w:val="0"/>
          <w:sz w:val="28"/>
          <w:szCs w:val="24"/>
        </w:rPr>
      </w:pPr>
      <w:r>
        <w:rPr>
          <w:rFonts w:hint="eastAsia" w:ascii="仿宋_GB2312" w:hAnsi="仿宋_GB2312"/>
          <w:color w:val="000000"/>
          <w:kern w:val="0"/>
          <w:sz w:val="28"/>
          <w:szCs w:val="24"/>
        </w:rPr>
        <w:t>六、一般公共预算财政拨款基本支出决算情况说明</w:t>
      </w:r>
    </w:p>
    <w:p>
      <w:pPr>
        <w:autoSpaceDE w:val="0"/>
        <w:autoSpaceDN w:val="0"/>
        <w:adjustRightInd w:val="0"/>
        <w:spacing w:line="500" w:lineRule="exact"/>
        <w:ind w:firstLine="560" w:firstLineChars="200"/>
        <w:jc w:val="left"/>
        <w:rPr>
          <w:rFonts w:ascii="仿宋_GB2312" w:eastAsia="仿宋_GB2312"/>
          <w:color w:val="000000"/>
          <w:kern w:val="0"/>
          <w:sz w:val="28"/>
          <w:szCs w:val="24"/>
        </w:rPr>
      </w:pPr>
      <w:r>
        <w:rPr>
          <w:rFonts w:hint="eastAsia" w:ascii="仿宋_GB2312" w:hAnsi="仿宋_GB2312"/>
          <w:color w:val="000000"/>
          <w:kern w:val="0"/>
          <w:sz w:val="28"/>
          <w:szCs w:val="24"/>
        </w:rPr>
        <w:t>七、一般公共预算财政拨款三公经费支出决算情况说明</w:t>
      </w:r>
    </w:p>
    <w:p>
      <w:pPr>
        <w:autoSpaceDE w:val="0"/>
        <w:autoSpaceDN w:val="0"/>
        <w:adjustRightInd w:val="0"/>
        <w:spacing w:line="500" w:lineRule="exact"/>
        <w:ind w:firstLine="560" w:firstLineChars="200"/>
        <w:jc w:val="left"/>
        <w:rPr>
          <w:rFonts w:hint="eastAsia" w:ascii="仿宋_GB2312" w:hAnsi="仿宋_GB2312"/>
          <w:color w:val="000000"/>
          <w:kern w:val="0"/>
          <w:sz w:val="28"/>
          <w:szCs w:val="24"/>
        </w:rPr>
      </w:pPr>
      <w:r>
        <w:rPr>
          <w:rFonts w:hint="eastAsia" w:ascii="仿宋_GB2312" w:hAnsi="仿宋_GB2312"/>
          <w:color w:val="000000"/>
          <w:kern w:val="0"/>
          <w:sz w:val="28"/>
          <w:szCs w:val="24"/>
        </w:rPr>
        <w:t>八、政府性基金预算收入支出决算情况</w:t>
      </w:r>
    </w:p>
    <w:p>
      <w:pPr>
        <w:autoSpaceDE w:val="0"/>
        <w:autoSpaceDN w:val="0"/>
        <w:adjustRightInd w:val="0"/>
        <w:spacing w:line="500" w:lineRule="exact"/>
        <w:ind w:firstLine="560" w:firstLineChars="200"/>
        <w:jc w:val="left"/>
        <w:rPr>
          <w:rFonts w:hint="eastAsia" w:ascii="仿宋_GB2312" w:hAnsi="仿宋_GB2312"/>
          <w:color w:val="000000"/>
          <w:kern w:val="0"/>
          <w:sz w:val="28"/>
          <w:szCs w:val="24"/>
        </w:rPr>
      </w:pPr>
      <w:r>
        <w:rPr>
          <w:rFonts w:hint="eastAsia" w:ascii="仿宋_GB2312" w:hAnsi="仿宋_GB2312"/>
          <w:color w:val="000000"/>
          <w:kern w:val="0"/>
          <w:sz w:val="28"/>
          <w:szCs w:val="24"/>
        </w:rPr>
        <w:t>九、国有资本经营预算财政拨款支出决算情况说明</w:t>
      </w:r>
    </w:p>
    <w:p>
      <w:pPr>
        <w:autoSpaceDE w:val="0"/>
        <w:autoSpaceDN w:val="0"/>
        <w:adjustRightInd w:val="0"/>
        <w:spacing w:line="500" w:lineRule="exact"/>
        <w:ind w:firstLine="560" w:firstLineChars="200"/>
        <w:jc w:val="left"/>
        <w:rPr>
          <w:rFonts w:hint="eastAsia" w:ascii="仿宋_GB2312" w:hAnsi="仿宋_GB2312"/>
          <w:color w:val="000000"/>
          <w:kern w:val="0"/>
          <w:sz w:val="28"/>
          <w:szCs w:val="24"/>
        </w:rPr>
      </w:pPr>
      <w:r>
        <w:rPr>
          <w:rFonts w:hint="eastAsia" w:ascii="仿宋_GB2312" w:hAnsi="仿宋_GB2312"/>
          <w:color w:val="000000"/>
          <w:kern w:val="0"/>
          <w:sz w:val="28"/>
          <w:szCs w:val="24"/>
        </w:rPr>
        <w:t>十、机关运行经费支出说明</w:t>
      </w:r>
    </w:p>
    <w:p>
      <w:pPr>
        <w:autoSpaceDE w:val="0"/>
        <w:autoSpaceDN w:val="0"/>
        <w:adjustRightInd w:val="0"/>
        <w:spacing w:line="500" w:lineRule="exact"/>
        <w:ind w:firstLine="560" w:firstLineChars="200"/>
        <w:jc w:val="left"/>
        <w:rPr>
          <w:rFonts w:hint="eastAsia" w:ascii="仿宋_GB2312" w:hAnsi="仿宋_GB2312"/>
          <w:color w:val="000000"/>
          <w:kern w:val="0"/>
          <w:sz w:val="28"/>
          <w:szCs w:val="24"/>
        </w:rPr>
      </w:pPr>
      <w:r>
        <w:rPr>
          <w:rFonts w:hint="eastAsia" w:ascii="仿宋_GB2312" w:hAnsi="仿宋_GB2312"/>
          <w:color w:val="000000"/>
          <w:kern w:val="0"/>
          <w:sz w:val="28"/>
          <w:szCs w:val="24"/>
        </w:rPr>
        <w:t>十一、一般性支出情况说明</w:t>
      </w:r>
    </w:p>
    <w:p>
      <w:pPr>
        <w:autoSpaceDE w:val="0"/>
        <w:autoSpaceDN w:val="0"/>
        <w:adjustRightInd w:val="0"/>
        <w:spacing w:line="500" w:lineRule="exact"/>
        <w:ind w:firstLine="560" w:firstLineChars="200"/>
        <w:jc w:val="left"/>
        <w:rPr>
          <w:rFonts w:hint="eastAsia" w:ascii="仿宋_GB2312" w:hAnsi="仿宋_GB2312"/>
          <w:color w:val="000000"/>
          <w:kern w:val="0"/>
          <w:sz w:val="28"/>
          <w:szCs w:val="24"/>
        </w:rPr>
      </w:pPr>
      <w:r>
        <w:rPr>
          <w:rFonts w:hint="eastAsia" w:ascii="仿宋_GB2312" w:hAnsi="仿宋_GB2312"/>
          <w:color w:val="000000"/>
          <w:kern w:val="0"/>
          <w:sz w:val="28"/>
          <w:szCs w:val="24"/>
        </w:rPr>
        <w:t>十二、政府采购支出说明</w:t>
      </w:r>
    </w:p>
    <w:p>
      <w:pPr>
        <w:autoSpaceDE w:val="0"/>
        <w:autoSpaceDN w:val="0"/>
        <w:adjustRightInd w:val="0"/>
        <w:spacing w:line="500" w:lineRule="exact"/>
        <w:ind w:firstLine="560" w:firstLineChars="200"/>
        <w:jc w:val="left"/>
        <w:rPr>
          <w:rFonts w:hint="eastAsia" w:ascii="仿宋_GB2312" w:hAnsi="仿宋_GB2312"/>
          <w:color w:val="000000"/>
          <w:kern w:val="0"/>
          <w:sz w:val="28"/>
          <w:szCs w:val="24"/>
        </w:rPr>
      </w:pPr>
      <w:r>
        <w:rPr>
          <w:rFonts w:hint="eastAsia" w:ascii="仿宋_GB2312" w:hAnsi="仿宋_GB2312"/>
          <w:color w:val="000000"/>
          <w:kern w:val="0"/>
          <w:sz w:val="28"/>
          <w:szCs w:val="24"/>
        </w:rPr>
        <w:t>十三、国有资产占用情况说明</w:t>
      </w:r>
    </w:p>
    <w:p>
      <w:pPr>
        <w:autoSpaceDE w:val="0"/>
        <w:autoSpaceDN w:val="0"/>
        <w:adjustRightInd w:val="0"/>
        <w:spacing w:line="500" w:lineRule="exact"/>
        <w:ind w:firstLine="560" w:firstLineChars="200"/>
        <w:jc w:val="left"/>
        <w:rPr>
          <w:rFonts w:hint="eastAsia" w:ascii="仿宋_GB2312" w:hAnsi="仿宋_GB2312"/>
          <w:color w:val="000000"/>
          <w:kern w:val="0"/>
          <w:sz w:val="28"/>
          <w:szCs w:val="24"/>
        </w:rPr>
      </w:pPr>
      <w:r>
        <w:rPr>
          <w:rFonts w:hint="eastAsia" w:ascii="仿宋_GB2312" w:hAnsi="仿宋_GB2312"/>
          <w:color w:val="000000"/>
          <w:kern w:val="0"/>
          <w:sz w:val="28"/>
          <w:szCs w:val="24"/>
        </w:rPr>
        <w:t>十四、关于部门整体支出绩效情况说明</w:t>
      </w:r>
    </w:p>
    <w:p>
      <w:pPr>
        <w:autoSpaceDE w:val="0"/>
        <w:autoSpaceDN w:val="0"/>
        <w:adjustRightInd w:val="0"/>
        <w:spacing w:line="520" w:lineRule="exact"/>
        <w:ind w:firstLine="562" w:firstLineChars="200"/>
        <w:jc w:val="left"/>
        <w:rPr>
          <w:rFonts w:ascii="黑体" w:eastAsia="黑体"/>
          <w:b/>
          <w:color w:val="000000"/>
          <w:kern w:val="0"/>
          <w:sz w:val="28"/>
          <w:szCs w:val="24"/>
        </w:rPr>
      </w:pPr>
      <w:r>
        <w:rPr>
          <w:rFonts w:hint="eastAsia" w:ascii="黑体" w:eastAsia="黑体"/>
          <w:b/>
          <w:color w:val="000000"/>
          <w:kern w:val="0"/>
          <w:sz w:val="28"/>
          <w:szCs w:val="24"/>
        </w:rPr>
        <w:t>第四部分名词解释</w:t>
      </w:r>
    </w:p>
    <w:p>
      <w:pPr>
        <w:pStyle w:val="2"/>
        <w:ind w:firstLine="562"/>
        <w:rPr>
          <w:rFonts w:ascii="黑体" w:hAnsi="黑体" w:eastAsia="黑体"/>
          <w:b/>
          <w:color w:val="555555"/>
          <w:sz w:val="28"/>
          <w:shd w:val="clear" w:color="auto" w:fill="FFFFFF"/>
        </w:rPr>
      </w:pPr>
    </w:p>
    <w:p>
      <w:pPr>
        <w:pStyle w:val="2"/>
        <w:ind w:firstLine="562"/>
        <w:rPr>
          <w:rFonts w:ascii="黑体" w:hAnsi="黑体" w:eastAsia="黑体"/>
          <w:sz w:val="28"/>
        </w:rPr>
      </w:pPr>
      <w:r>
        <w:rPr>
          <w:rFonts w:hint="eastAsia" w:ascii="黑体" w:hAnsi="黑体" w:eastAsia="黑体"/>
          <w:b/>
          <w:color w:val="555555"/>
          <w:sz w:val="28"/>
          <w:shd w:val="clear" w:color="auto" w:fill="FFFFFF"/>
        </w:rPr>
        <w:t>第五部分附件</w:t>
      </w:r>
    </w:p>
    <w:p>
      <w:pPr>
        <w:keepNext/>
        <w:keepLines/>
        <w:autoSpaceDE w:val="0"/>
        <w:autoSpaceDN w:val="0"/>
        <w:adjustRightInd w:val="0"/>
        <w:ind w:firstLine="3960" w:firstLineChars="1100"/>
        <w:rPr>
          <w:rFonts w:ascii="黑体" w:eastAsia="黑体"/>
          <w:sz w:val="36"/>
          <w:szCs w:val="24"/>
        </w:rPr>
      </w:pPr>
    </w:p>
    <w:p>
      <w:pPr>
        <w:pStyle w:val="2"/>
        <w:ind w:firstLine="720"/>
        <w:rPr>
          <w:rFonts w:ascii="黑体" w:eastAsia="黑体"/>
          <w:sz w:val="36"/>
        </w:rPr>
      </w:pPr>
    </w:p>
    <w:p>
      <w:pPr>
        <w:pStyle w:val="2"/>
        <w:ind w:firstLine="720"/>
        <w:rPr>
          <w:rFonts w:ascii="黑体" w:eastAsia="黑体"/>
          <w:sz w:val="36"/>
        </w:rPr>
      </w:pPr>
    </w:p>
    <w:p>
      <w:pPr>
        <w:pStyle w:val="2"/>
        <w:ind w:firstLine="720"/>
        <w:rPr>
          <w:rFonts w:ascii="黑体" w:eastAsia="黑体"/>
          <w:sz w:val="36"/>
        </w:rPr>
      </w:pPr>
    </w:p>
    <w:p>
      <w:pPr>
        <w:pStyle w:val="2"/>
        <w:ind w:firstLine="720"/>
        <w:rPr>
          <w:rFonts w:ascii="黑体" w:eastAsia="黑体"/>
          <w:sz w:val="36"/>
        </w:rPr>
      </w:pPr>
    </w:p>
    <w:p>
      <w:pPr>
        <w:pStyle w:val="2"/>
        <w:ind w:firstLine="720"/>
        <w:rPr>
          <w:rFonts w:ascii="黑体" w:eastAsia="黑体"/>
          <w:sz w:val="36"/>
        </w:rPr>
      </w:pPr>
    </w:p>
    <w:p>
      <w:pPr>
        <w:pStyle w:val="2"/>
        <w:ind w:firstLine="720"/>
        <w:rPr>
          <w:rFonts w:ascii="黑体" w:eastAsia="黑体"/>
          <w:sz w:val="36"/>
        </w:rPr>
      </w:pPr>
    </w:p>
    <w:p>
      <w:pPr>
        <w:pStyle w:val="2"/>
        <w:ind w:firstLine="720"/>
        <w:rPr>
          <w:rFonts w:ascii="黑体" w:eastAsia="黑体"/>
          <w:sz w:val="36"/>
        </w:rPr>
      </w:pPr>
    </w:p>
    <w:p>
      <w:pPr>
        <w:pStyle w:val="2"/>
        <w:ind w:firstLine="720"/>
        <w:rPr>
          <w:rFonts w:ascii="黑体" w:eastAsia="黑体"/>
          <w:sz w:val="36"/>
        </w:rPr>
      </w:pPr>
    </w:p>
    <w:p>
      <w:pPr>
        <w:pStyle w:val="2"/>
        <w:ind w:firstLine="720"/>
        <w:rPr>
          <w:rFonts w:ascii="黑体" w:eastAsia="黑体"/>
          <w:sz w:val="36"/>
        </w:rPr>
      </w:pPr>
    </w:p>
    <w:p>
      <w:pPr>
        <w:pStyle w:val="2"/>
        <w:ind w:firstLine="720"/>
        <w:rPr>
          <w:rFonts w:ascii="黑体" w:eastAsia="黑体"/>
          <w:sz w:val="36"/>
        </w:rPr>
      </w:pPr>
    </w:p>
    <w:p>
      <w:pPr>
        <w:pStyle w:val="2"/>
        <w:ind w:firstLine="720"/>
        <w:rPr>
          <w:rFonts w:ascii="黑体" w:eastAsia="黑体"/>
          <w:sz w:val="36"/>
        </w:rPr>
      </w:pPr>
    </w:p>
    <w:p>
      <w:pPr>
        <w:pStyle w:val="2"/>
        <w:ind w:firstLine="720"/>
        <w:rPr>
          <w:rFonts w:ascii="黑体" w:eastAsia="黑体"/>
          <w:sz w:val="36"/>
        </w:rPr>
      </w:pPr>
    </w:p>
    <w:p>
      <w:pPr>
        <w:pStyle w:val="2"/>
        <w:ind w:firstLine="720"/>
        <w:rPr>
          <w:rFonts w:ascii="黑体" w:eastAsia="黑体"/>
          <w:sz w:val="36"/>
        </w:rPr>
      </w:pPr>
    </w:p>
    <w:p>
      <w:pPr>
        <w:pStyle w:val="2"/>
        <w:ind w:firstLine="720"/>
        <w:rPr>
          <w:rFonts w:ascii="黑体" w:eastAsia="黑体"/>
          <w:sz w:val="36"/>
        </w:rPr>
      </w:pPr>
    </w:p>
    <w:p>
      <w:pPr>
        <w:pStyle w:val="2"/>
        <w:ind w:firstLine="720"/>
        <w:rPr>
          <w:rFonts w:ascii="黑体" w:eastAsia="黑体"/>
          <w:sz w:val="36"/>
        </w:rPr>
      </w:pPr>
    </w:p>
    <w:p>
      <w:pPr>
        <w:pStyle w:val="2"/>
        <w:ind w:firstLine="720"/>
        <w:rPr>
          <w:rFonts w:ascii="黑体" w:eastAsia="黑体"/>
          <w:sz w:val="36"/>
        </w:rPr>
      </w:pPr>
    </w:p>
    <w:p>
      <w:pPr>
        <w:pStyle w:val="2"/>
        <w:ind w:firstLine="720"/>
        <w:rPr>
          <w:rFonts w:ascii="黑体" w:eastAsia="黑体"/>
          <w:sz w:val="36"/>
        </w:rPr>
      </w:pPr>
    </w:p>
    <w:p>
      <w:pPr>
        <w:pStyle w:val="2"/>
        <w:ind w:firstLine="720"/>
        <w:rPr>
          <w:rFonts w:ascii="黑体" w:eastAsia="黑体"/>
          <w:sz w:val="36"/>
        </w:rPr>
      </w:pPr>
    </w:p>
    <w:p>
      <w:pPr>
        <w:keepNext/>
        <w:keepLines/>
        <w:autoSpaceDE w:val="0"/>
        <w:autoSpaceDN w:val="0"/>
        <w:adjustRightInd w:val="0"/>
        <w:ind w:firstLine="3960" w:firstLineChars="1100"/>
        <w:rPr>
          <w:rFonts w:ascii="黑体" w:eastAsia="黑体"/>
          <w:sz w:val="36"/>
          <w:szCs w:val="24"/>
        </w:rPr>
      </w:pPr>
      <w:r>
        <w:rPr>
          <w:rFonts w:hint="eastAsia" w:ascii="黑体" w:eastAsia="黑体"/>
          <w:sz w:val="36"/>
          <w:szCs w:val="24"/>
        </w:rPr>
        <w:t>第一部分</w:t>
      </w:r>
    </w:p>
    <w:p>
      <w:pPr>
        <w:pStyle w:val="2"/>
        <w:ind w:firstLine="420"/>
      </w:pPr>
    </w:p>
    <w:p>
      <w:pPr>
        <w:keepNext/>
        <w:keepLines/>
        <w:autoSpaceDE w:val="0"/>
        <w:autoSpaceDN w:val="0"/>
        <w:adjustRightInd w:val="0"/>
        <w:ind w:firstLine="720" w:firstLineChars="200"/>
        <w:jc w:val="center"/>
        <w:rPr>
          <w:rFonts w:ascii="黑体" w:eastAsia="黑体"/>
          <w:sz w:val="36"/>
          <w:szCs w:val="24"/>
        </w:rPr>
      </w:pPr>
      <w:r>
        <w:rPr>
          <w:rFonts w:hint="eastAsia" w:ascii="黑体" w:eastAsia="黑体"/>
          <w:sz w:val="36"/>
          <w:szCs w:val="24"/>
          <w:lang w:val="zh-CN"/>
        </w:rPr>
        <w:t>岳阳县水资源与水土保持监测中心</w:t>
      </w:r>
      <w:r>
        <w:rPr>
          <w:rFonts w:hint="eastAsia" w:ascii="黑体" w:eastAsia="黑体"/>
          <w:sz w:val="36"/>
          <w:szCs w:val="24"/>
        </w:rPr>
        <w:t>概况</w:t>
      </w:r>
    </w:p>
    <w:p>
      <w:pPr>
        <w:pStyle w:val="2"/>
        <w:ind w:firstLine="720"/>
        <w:rPr>
          <w:rFonts w:ascii="黑体" w:eastAsia="黑体"/>
          <w:sz w:val="36"/>
        </w:rPr>
      </w:pPr>
    </w:p>
    <w:p>
      <w:pPr>
        <w:pStyle w:val="2"/>
        <w:ind w:firstLine="720"/>
        <w:rPr>
          <w:rFonts w:ascii="黑体" w:eastAsia="黑体"/>
          <w:sz w:val="36"/>
        </w:rPr>
      </w:pPr>
    </w:p>
    <w:p>
      <w:pPr>
        <w:keepNext/>
        <w:keepLines/>
        <w:numPr>
          <w:ilvl w:val="0"/>
          <w:numId w:val="1"/>
        </w:numPr>
        <w:autoSpaceDE w:val="0"/>
        <w:autoSpaceDN w:val="0"/>
        <w:adjustRightInd w:val="0"/>
        <w:ind w:firstLine="643" w:firstLineChars="200"/>
        <w:rPr>
          <w:rFonts w:ascii="宋体"/>
          <w:b/>
          <w:sz w:val="32"/>
          <w:szCs w:val="24"/>
          <w:lang w:val="zh-CN"/>
        </w:rPr>
      </w:pPr>
      <w:r>
        <w:rPr>
          <w:rFonts w:hint="eastAsia" w:ascii="宋体"/>
          <w:b/>
          <w:sz w:val="32"/>
          <w:szCs w:val="24"/>
          <w:lang w:val="zh-CN"/>
        </w:rPr>
        <w:t>部门职责</w:t>
      </w:r>
    </w:p>
    <w:p>
      <w:pPr>
        <w:pStyle w:val="17"/>
        <w:spacing w:line="500" w:lineRule="exact"/>
        <w:ind w:firstLine="700" w:firstLineChars="250"/>
        <w:rPr>
          <w:rFonts w:ascii="宋体" w:hAnsi="宋体" w:eastAsia="宋体"/>
          <w:sz w:val="28"/>
        </w:rPr>
      </w:pPr>
      <w:r>
        <w:rPr>
          <w:rFonts w:hint="eastAsia" w:ascii="宋体" w:hAnsi="宋体" w:eastAsia="宋体"/>
          <w:sz w:val="28"/>
        </w:rPr>
        <w:t>（一）负责全县水资源与水土保持动态监测、调查、技术审查、评价和论证、编制水资源保护与水土保持规划方案、项目实施和验收、拟订全县供水计划、水量分配、储量调查和监测、负责全县水资源费和水土保持行政事业性规费征收。</w:t>
      </w:r>
    </w:p>
    <w:p>
      <w:pPr>
        <w:pStyle w:val="17"/>
        <w:spacing w:line="500" w:lineRule="exact"/>
        <w:ind w:firstLine="700" w:firstLineChars="250"/>
        <w:rPr>
          <w:rFonts w:ascii="宋体" w:hAnsi="宋体" w:eastAsia="宋体"/>
          <w:sz w:val="28"/>
        </w:rPr>
      </w:pPr>
      <w:r>
        <w:rPr>
          <w:rFonts w:hint="eastAsia" w:ascii="宋体" w:hAnsi="宋体" w:eastAsia="宋体"/>
          <w:sz w:val="28"/>
        </w:rPr>
        <w:t>（二）负责对全县范围内涉砂涉矿企业及开发建设项目水土保持流失情况的巡查。</w:t>
      </w:r>
    </w:p>
    <w:p>
      <w:pPr>
        <w:pStyle w:val="17"/>
        <w:spacing w:line="500" w:lineRule="exact"/>
        <w:ind w:firstLine="700" w:firstLineChars="250"/>
        <w:rPr>
          <w:rFonts w:ascii="宋体" w:hAnsi="宋体" w:eastAsia="宋体"/>
          <w:sz w:val="28"/>
        </w:rPr>
      </w:pPr>
      <w:r>
        <w:rPr>
          <w:rFonts w:hint="eastAsia" w:ascii="宋体" w:hAnsi="宋体" w:eastAsia="宋体"/>
          <w:sz w:val="28"/>
        </w:rPr>
        <w:t>（三）承办上级主管部门交办的其他工作。</w:t>
      </w:r>
    </w:p>
    <w:p>
      <w:pPr>
        <w:pStyle w:val="17"/>
        <w:spacing w:line="500" w:lineRule="exact"/>
        <w:ind w:firstLine="703" w:firstLineChars="250"/>
        <w:rPr>
          <w:rFonts w:ascii="宋体" w:hAnsi="宋体" w:eastAsia="宋体"/>
          <w:b/>
          <w:sz w:val="28"/>
        </w:rPr>
      </w:pPr>
      <w:r>
        <w:rPr>
          <w:rFonts w:hint="eastAsia" w:ascii="宋体" w:hAnsi="宋体" w:eastAsia="宋体"/>
          <w:b/>
          <w:sz w:val="28"/>
        </w:rPr>
        <w:t>二、机构设置</w:t>
      </w:r>
    </w:p>
    <w:p>
      <w:pPr>
        <w:pStyle w:val="17"/>
        <w:spacing w:line="500" w:lineRule="exact"/>
        <w:ind w:firstLine="700" w:firstLineChars="250"/>
        <w:rPr>
          <w:rFonts w:ascii="宋体" w:hAnsi="宋体" w:eastAsia="宋体"/>
          <w:sz w:val="28"/>
        </w:rPr>
      </w:pPr>
      <w:r>
        <w:rPr>
          <w:rFonts w:hint="eastAsia" w:ascii="宋体" w:hAnsi="宋体" w:eastAsia="宋体"/>
          <w:sz w:val="28"/>
        </w:rPr>
        <w:t>本单位内设机构</w:t>
      </w:r>
      <w:r>
        <w:rPr>
          <w:rFonts w:ascii="宋体" w:hAnsi="宋体" w:eastAsia="宋体"/>
          <w:sz w:val="28"/>
        </w:rPr>
        <w:t>5</w:t>
      </w:r>
      <w:r>
        <w:rPr>
          <w:rFonts w:hint="eastAsia" w:ascii="宋体" w:hAnsi="宋体" w:eastAsia="宋体"/>
          <w:sz w:val="28"/>
        </w:rPr>
        <w:t>个即：办公室、财务组、收费组、监测组、巡查组。</w:t>
      </w:r>
    </w:p>
    <w:p>
      <w:pPr>
        <w:pStyle w:val="17"/>
        <w:spacing w:line="500" w:lineRule="exact"/>
        <w:ind w:firstLine="703" w:firstLineChars="250"/>
        <w:rPr>
          <w:rFonts w:ascii="宋体" w:hAnsi="宋体" w:eastAsia="宋体"/>
          <w:b/>
          <w:sz w:val="28"/>
        </w:rPr>
      </w:pPr>
      <w:r>
        <w:rPr>
          <w:rFonts w:hint="eastAsia" w:ascii="宋体" w:hAnsi="宋体" w:eastAsia="宋体"/>
          <w:b/>
          <w:sz w:val="28"/>
        </w:rPr>
        <w:t>三、决算单位构成</w:t>
      </w:r>
    </w:p>
    <w:p>
      <w:pPr>
        <w:pStyle w:val="17"/>
        <w:spacing w:line="500" w:lineRule="exact"/>
        <w:ind w:firstLine="700" w:firstLineChars="250"/>
        <w:rPr>
          <w:rFonts w:ascii="宋体" w:hAnsi="宋体" w:eastAsia="宋体"/>
          <w:sz w:val="28"/>
        </w:rPr>
      </w:pPr>
      <w:r>
        <w:rPr>
          <w:rFonts w:hint="eastAsia" w:ascii="宋体" w:hAnsi="宋体" w:eastAsia="宋体"/>
          <w:sz w:val="28"/>
          <w:lang w:val="zh-CN"/>
        </w:rPr>
        <w:t>岳阳县水资源与水土保持监测中心</w:t>
      </w:r>
      <w:r>
        <w:rPr>
          <w:rFonts w:hint="eastAsia" w:ascii="宋体" w:hAnsi="宋体" w:eastAsia="宋体"/>
          <w:sz w:val="28"/>
        </w:rPr>
        <w:t>只有本级，没有其他预算单位，因此本部门决算仅含本级决算。</w:t>
      </w:r>
    </w:p>
    <w:p>
      <w:pPr>
        <w:keepNext/>
        <w:keepLines/>
        <w:autoSpaceDE w:val="0"/>
        <w:autoSpaceDN w:val="0"/>
        <w:adjustRightInd w:val="0"/>
        <w:ind w:firstLine="3600" w:firstLineChars="1000"/>
        <w:rPr>
          <w:rFonts w:ascii="黑体" w:eastAsia="黑体"/>
          <w:sz w:val="36"/>
          <w:szCs w:val="24"/>
        </w:rPr>
      </w:pPr>
    </w:p>
    <w:p>
      <w:pPr>
        <w:keepNext/>
        <w:keepLines/>
        <w:autoSpaceDE w:val="0"/>
        <w:autoSpaceDN w:val="0"/>
        <w:adjustRightInd w:val="0"/>
        <w:ind w:firstLine="3600" w:firstLineChars="1000"/>
        <w:rPr>
          <w:rFonts w:ascii="黑体" w:eastAsia="黑体"/>
          <w:sz w:val="36"/>
          <w:szCs w:val="24"/>
        </w:rPr>
      </w:pPr>
    </w:p>
    <w:p>
      <w:pPr>
        <w:keepNext/>
        <w:keepLines/>
        <w:autoSpaceDE w:val="0"/>
        <w:autoSpaceDN w:val="0"/>
        <w:adjustRightInd w:val="0"/>
        <w:ind w:firstLine="3600" w:firstLineChars="1000"/>
        <w:rPr>
          <w:rFonts w:ascii="黑体" w:eastAsia="黑体"/>
          <w:sz w:val="36"/>
          <w:szCs w:val="24"/>
        </w:rPr>
      </w:pPr>
    </w:p>
    <w:p>
      <w:pPr>
        <w:keepNext/>
        <w:keepLines/>
        <w:autoSpaceDE w:val="0"/>
        <w:autoSpaceDN w:val="0"/>
        <w:adjustRightInd w:val="0"/>
        <w:ind w:firstLine="3600" w:firstLineChars="1000"/>
        <w:rPr>
          <w:rFonts w:ascii="黑体" w:eastAsia="黑体"/>
          <w:sz w:val="36"/>
          <w:szCs w:val="24"/>
        </w:rPr>
      </w:pPr>
    </w:p>
    <w:p>
      <w:pPr>
        <w:keepNext/>
        <w:keepLines/>
        <w:autoSpaceDE w:val="0"/>
        <w:autoSpaceDN w:val="0"/>
        <w:adjustRightInd w:val="0"/>
        <w:ind w:firstLine="3600" w:firstLineChars="1000"/>
        <w:rPr>
          <w:rFonts w:ascii="黑体" w:eastAsia="黑体"/>
          <w:sz w:val="36"/>
          <w:szCs w:val="24"/>
        </w:rPr>
      </w:pPr>
    </w:p>
    <w:p>
      <w:pPr>
        <w:keepNext/>
        <w:keepLines/>
        <w:autoSpaceDE w:val="0"/>
        <w:autoSpaceDN w:val="0"/>
        <w:adjustRightInd w:val="0"/>
        <w:ind w:firstLine="3600" w:firstLineChars="1000"/>
        <w:rPr>
          <w:rFonts w:ascii="黑体" w:eastAsia="黑体"/>
          <w:sz w:val="36"/>
          <w:szCs w:val="24"/>
        </w:rPr>
      </w:pPr>
      <w:r>
        <w:rPr>
          <w:rFonts w:hint="eastAsia" w:ascii="黑体" w:eastAsia="黑体"/>
          <w:sz w:val="36"/>
          <w:szCs w:val="24"/>
        </w:rPr>
        <w:t>第二部分</w:t>
      </w:r>
    </w:p>
    <w:p>
      <w:pPr>
        <w:keepNext/>
        <w:keepLines/>
        <w:autoSpaceDE w:val="0"/>
        <w:autoSpaceDN w:val="0"/>
        <w:adjustRightInd w:val="0"/>
        <w:ind w:firstLine="720" w:firstLineChars="200"/>
        <w:jc w:val="center"/>
        <w:rPr>
          <w:rFonts w:ascii="黑体" w:eastAsia="黑体"/>
          <w:sz w:val="36"/>
          <w:szCs w:val="24"/>
        </w:rPr>
      </w:pPr>
      <w:r>
        <w:rPr>
          <w:rFonts w:hint="eastAsia" w:ascii="黑体" w:eastAsia="黑体"/>
          <w:sz w:val="36"/>
          <w:szCs w:val="24"/>
        </w:rPr>
        <w:t>岳阳县水资源与水土保持监测中心</w:t>
      </w:r>
      <w:r>
        <w:rPr>
          <w:rFonts w:ascii="黑体" w:eastAsia="黑体"/>
          <w:sz w:val="36"/>
          <w:szCs w:val="24"/>
        </w:rPr>
        <w:t>2021</w:t>
      </w:r>
      <w:r>
        <w:rPr>
          <w:rFonts w:hint="eastAsia" w:ascii="黑体" w:eastAsia="黑体"/>
          <w:sz w:val="36"/>
          <w:szCs w:val="24"/>
        </w:rPr>
        <w:t>年度部门决算表（见附表）</w:t>
      </w:r>
    </w:p>
    <w:p>
      <w:pPr>
        <w:keepNext/>
        <w:keepLines/>
        <w:autoSpaceDE w:val="0"/>
        <w:autoSpaceDN w:val="0"/>
        <w:adjustRightInd w:val="0"/>
        <w:ind w:firstLine="3600" w:firstLineChars="1000"/>
        <w:rPr>
          <w:rFonts w:ascii="黑体" w:eastAsia="黑体"/>
          <w:sz w:val="36"/>
          <w:szCs w:val="24"/>
        </w:rPr>
      </w:pPr>
    </w:p>
    <w:p>
      <w:pPr>
        <w:keepNext/>
        <w:keepLines/>
        <w:autoSpaceDE w:val="0"/>
        <w:autoSpaceDN w:val="0"/>
        <w:adjustRightInd w:val="0"/>
        <w:ind w:firstLine="3600" w:firstLineChars="1000"/>
        <w:rPr>
          <w:rFonts w:ascii="黑体" w:eastAsia="黑体"/>
          <w:sz w:val="36"/>
          <w:szCs w:val="24"/>
        </w:rPr>
      </w:pPr>
    </w:p>
    <w:p>
      <w:pPr>
        <w:keepNext/>
        <w:keepLines/>
        <w:autoSpaceDE w:val="0"/>
        <w:autoSpaceDN w:val="0"/>
        <w:adjustRightInd w:val="0"/>
        <w:ind w:firstLine="3600" w:firstLineChars="1000"/>
        <w:rPr>
          <w:rFonts w:ascii="黑体" w:eastAsia="黑体"/>
          <w:sz w:val="36"/>
          <w:szCs w:val="24"/>
        </w:rPr>
      </w:pPr>
    </w:p>
    <w:p>
      <w:pPr>
        <w:keepNext/>
        <w:keepLines/>
        <w:autoSpaceDE w:val="0"/>
        <w:autoSpaceDN w:val="0"/>
        <w:adjustRightInd w:val="0"/>
        <w:ind w:firstLine="3600" w:firstLineChars="1000"/>
        <w:rPr>
          <w:rFonts w:ascii="黑体" w:eastAsia="黑体"/>
          <w:sz w:val="36"/>
          <w:szCs w:val="24"/>
        </w:rPr>
      </w:pPr>
    </w:p>
    <w:p>
      <w:pPr>
        <w:keepNext/>
        <w:keepLines/>
        <w:autoSpaceDE w:val="0"/>
        <w:autoSpaceDN w:val="0"/>
        <w:adjustRightInd w:val="0"/>
        <w:ind w:firstLine="3600" w:firstLineChars="1000"/>
        <w:rPr>
          <w:rFonts w:ascii="黑体" w:eastAsia="黑体"/>
          <w:sz w:val="36"/>
          <w:szCs w:val="24"/>
        </w:rPr>
      </w:pPr>
    </w:p>
    <w:p>
      <w:pPr>
        <w:keepNext/>
        <w:keepLines/>
        <w:autoSpaceDE w:val="0"/>
        <w:autoSpaceDN w:val="0"/>
        <w:adjustRightInd w:val="0"/>
        <w:ind w:firstLine="3600" w:firstLineChars="1000"/>
        <w:rPr>
          <w:rFonts w:ascii="黑体" w:eastAsia="黑体"/>
          <w:sz w:val="36"/>
          <w:szCs w:val="24"/>
        </w:rPr>
      </w:pPr>
    </w:p>
    <w:p>
      <w:pPr>
        <w:keepNext/>
        <w:keepLines/>
        <w:autoSpaceDE w:val="0"/>
        <w:autoSpaceDN w:val="0"/>
        <w:adjustRightInd w:val="0"/>
        <w:ind w:firstLine="3600" w:firstLineChars="1000"/>
        <w:rPr>
          <w:rFonts w:ascii="黑体" w:eastAsia="黑体"/>
          <w:sz w:val="36"/>
          <w:szCs w:val="24"/>
        </w:rPr>
      </w:pPr>
    </w:p>
    <w:p>
      <w:pPr>
        <w:keepNext/>
        <w:keepLines/>
        <w:autoSpaceDE w:val="0"/>
        <w:autoSpaceDN w:val="0"/>
        <w:adjustRightInd w:val="0"/>
        <w:ind w:firstLine="3600" w:firstLineChars="1000"/>
        <w:rPr>
          <w:rFonts w:ascii="黑体" w:eastAsia="黑体"/>
          <w:sz w:val="36"/>
          <w:szCs w:val="24"/>
        </w:rPr>
      </w:pPr>
    </w:p>
    <w:p>
      <w:pPr>
        <w:keepNext/>
        <w:keepLines/>
        <w:autoSpaceDE w:val="0"/>
        <w:autoSpaceDN w:val="0"/>
        <w:adjustRightInd w:val="0"/>
        <w:ind w:firstLine="3600" w:firstLineChars="1000"/>
        <w:rPr>
          <w:rFonts w:ascii="黑体" w:eastAsia="黑体"/>
          <w:sz w:val="36"/>
          <w:szCs w:val="24"/>
        </w:rPr>
      </w:pPr>
    </w:p>
    <w:p>
      <w:pPr>
        <w:keepNext/>
        <w:keepLines/>
        <w:autoSpaceDE w:val="0"/>
        <w:autoSpaceDN w:val="0"/>
        <w:adjustRightInd w:val="0"/>
        <w:ind w:firstLine="3600" w:firstLineChars="1000"/>
        <w:rPr>
          <w:rFonts w:ascii="黑体" w:eastAsia="黑体"/>
          <w:sz w:val="36"/>
          <w:szCs w:val="24"/>
        </w:rPr>
      </w:pPr>
    </w:p>
    <w:p>
      <w:pPr>
        <w:keepNext/>
        <w:keepLines/>
        <w:autoSpaceDE w:val="0"/>
        <w:autoSpaceDN w:val="0"/>
        <w:adjustRightInd w:val="0"/>
        <w:ind w:firstLine="3600" w:firstLineChars="1000"/>
        <w:rPr>
          <w:rFonts w:ascii="黑体" w:eastAsia="黑体"/>
          <w:sz w:val="36"/>
          <w:szCs w:val="24"/>
        </w:rPr>
      </w:pPr>
    </w:p>
    <w:p>
      <w:pPr>
        <w:keepNext/>
        <w:keepLines/>
        <w:autoSpaceDE w:val="0"/>
        <w:autoSpaceDN w:val="0"/>
        <w:adjustRightInd w:val="0"/>
        <w:ind w:firstLine="3600" w:firstLineChars="1000"/>
        <w:rPr>
          <w:rFonts w:ascii="黑体" w:eastAsia="黑体"/>
          <w:sz w:val="36"/>
          <w:szCs w:val="24"/>
        </w:rPr>
      </w:pPr>
    </w:p>
    <w:p>
      <w:pPr>
        <w:keepNext/>
        <w:keepLines/>
        <w:autoSpaceDE w:val="0"/>
        <w:autoSpaceDN w:val="0"/>
        <w:adjustRightInd w:val="0"/>
        <w:ind w:firstLine="3600" w:firstLineChars="1000"/>
        <w:rPr>
          <w:rFonts w:ascii="黑体" w:eastAsia="黑体"/>
          <w:sz w:val="36"/>
          <w:szCs w:val="24"/>
        </w:rPr>
      </w:pPr>
    </w:p>
    <w:p>
      <w:pPr>
        <w:keepNext/>
        <w:keepLines/>
        <w:autoSpaceDE w:val="0"/>
        <w:autoSpaceDN w:val="0"/>
        <w:adjustRightInd w:val="0"/>
        <w:ind w:firstLine="3600" w:firstLineChars="1000"/>
        <w:rPr>
          <w:rFonts w:ascii="黑体" w:eastAsia="黑体"/>
          <w:sz w:val="36"/>
          <w:szCs w:val="24"/>
        </w:rPr>
      </w:pPr>
    </w:p>
    <w:p>
      <w:pPr>
        <w:keepNext/>
        <w:keepLines/>
        <w:autoSpaceDE w:val="0"/>
        <w:autoSpaceDN w:val="0"/>
        <w:adjustRightInd w:val="0"/>
        <w:ind w:firstLine="3600" w:firstLineChars="1000"/>
        <w:rPr>
          <w:rFonts w:ascii="黑体" w:eastAsia="黑体"/>
          <w:sz w:val="36"/>
          <w:szCs w:val="24"/>
        </w:rPr>
      </w:pPr>
    </w:p>
    <w:p>
      <w:pPr>
        <w:keepNext/>
        <w:keepLines/>
        <w:autoSpaceDE w:val="0"/>
        <w:autoSpaceDN w:val="0"/>
        <w:adjustRightInd w:val="0"/>
        <w:ind w:firstLine="3600" w:firstLineChars="1000"/>
        <w:rPr>
          <w:rFonts w:ascii="黑体" w:eastAsia="黑体"/>
          <w:sz w:val="36"/>
          <w:szCs w:val="24"/>
        </w:rPr>
      </w:pPr>
    </w:p>
    <w:p>
      <w:pPr>
        <w:keepNext/>
        <w:keepLines/>
        <w:autoSpaceDE w:val="0"/>
        <w:autoSpaceDN w:val="0"/>
        <w:adjustRightInd w:val="0"/>
        <w:ind w:firstLine="3600" w:firstLineChars="1000"/>
        <w:rPr>
          <w:rFonts w:ascii="黑体" w:eastAsia="黑体"/>
          <w:sz w:val="36"/>
          <w:szCs w:val="24"/>
        </w:rPr>
      </w:pPr>
    </w:p>
    <w:p>
      <w:pPr>
        <w:keepNext/>
        <w:keepLines/>
        <w:autoSpaceDE w:val="0"/>
        <w:autoSpaceDN w:val="0"/>
        <w:adjustRightInd w:val="0"/>
        <w:ind w:firstLine="3600" w:firstLineChars="1000"/>
        <w:rPr>
          <w:rFonts w:ascii="黑体" w:eastAsia="黑体"/>
          <w:sz w:val="36"/>
          <w:szCs w:val="24"/>
        </w:rPr>
      </w:pPr>
    </w:p>
    <w:p>
      <w:pPr>
        <w:keepNext/>
        <w:keepLines/>
        <w:autoSpaceDE w:val="0"/>
        <w:autoSpaceDN w:val="0"/>
        <w:adjustRightInd w:val="0"/>
        <w:ind w:firstLine="3600" w:firstLineChars="1000"/>
        <w:rPr>
          <w:rFonts w:ascii="黑体" w:eastAsia="黑体"/>
          <w:sz w:val="36"/>
          <w:szCs w:val="24"/>
        </w:rPr>
      </w:pPr>
    </w:p>
    <w:p>
      <w:pPr>
        <w:keepNext/>
        <w:keepLines/>
        <w:autoSpaceDE w:val="0"/>
        <w:autoSpaceDN w:val="0"/>
        <w:adjustRightInd w:val="0"/>
        <w:ind w:firstLine="3600" w:firstLineChars="1000"/>
        <w:rPr>
          <w:rFonts w:ascii="黑体" w:eastAsia="黑体"/>
          <w:sz w:val="36"/>
          <w:szCs w:val="24"/>
        </w:rPr>
      </w:pPr>
      <w:r>
        <w:rPr>
          <w:rFonts w:hint="eastAsia" w:ascii="黑体" w:eastAsia="黑体"/>
          <w:sz w:val="36"/>
          <w:szCs w:val="24"/>
        </w:rPr>
        <w:t>第三部分</w:t>
      </w:r>
    </w:p>
    <w:p>
      <w:pPr>
        <w:keepNext/>
        <w:keepLines/>
        <w:autoSpaceDE w:val="0"/>
        <w:autoSpaceDN w:val="0"/>
        <w:adjustRightInd w:val="0"/>
        <w:ind w:firstLine="720" w:firstLineChars="200"/>
        <w:jc w:val="center"/>
        <w:rPr>
          <w:rFonts w:ascii="黑体" w:eastAsia="黑体"/>
          <w:sz w:val="36"/>
          <w:szCs w:val="24"/>
        </w:rPr>
      </w:pPr>
      <w:r>
        <w:rPr>
          <w:rFonts w:hint="eastAsia" w:ascii="黑体" w:eastAsia="黑体"/>
          <w:sz w:val="36"/>
          <w:szCs w:val="24"/>
        </w:rPr>
        <w:t>岳阳县水资源与水土保持监测中心</w:t>
      </w:r>
      <w:r>
        <w:rPr>
          <w:rFonts w:ascii="黑体" w:eastAsia="黑体"/>
          <w:sz w:val="36"/>
          <w:szCs w:val="24"/>
        </w:rPr>
        <w:t>2021</w:t>
      </w:r>
      <w:r>
        <w:rPr>
          <w:rFonts w:hint="eastAsia" w:ascii="黑体" w:eastAsia="黑体"/>
          <w:sz w:val="36"/>
          <w:szCs w:val="24"/>
        </w:rPr>
        <w:t>年度部门决算情况说明</w:t>
      </w:r>
    </w:p>
    <w:p>
      <w:pPr>
        <w:widowControl/>
        <w:spacing w:line="600" w:lineRule="exact"/>
        <w:ind w:firstLine="562" w:firstLineChars="200"/>
        <w:jc w:val="left"/>
        <w:rPr>
          <w:b/>
          <w:kern w:val="0"/>
          <w:sz w:val="28"/>
          <w:szCs w:val="24"/>
        </w:rPr>
      </w:pPr>
      <w:r>
        <w:rPr>
          <w:rFonts w:hint="eastAsia" w:ascii="宋体" w:hAnsi="宋体"/>
          <w:b/>
          <w:kern w:val="0"/>
          <w:sz w:val="28"/>
          <w:szCs w:val="24"/>
        </w:rPr>
        <w:t>一、收入支出决算总体情况说明</w:t>
      </w:r>
    </w:p>
    <w:p>
      <w:pPr>
        <w:widowControl/>
        <w:spacing w:line="600" w:lineRule="exact"/>
        <w:ind w:firstLine="560" w:firstLineChars="200"/>
        <w:jc w:val="left"/>
        <w:rPr>
          <w:rFonts w:ascii="宋体" w:hAnsi="宋体"/>
          <w:kern w:val="0"/>
          <w:sz w:val="28"/>
          <w:szCs w:val="24"/>
        </w:rPr>
      </w:pPr>
      <w:r>
        <w:rPr>
          <w:rFonts w:ascii="宋体" w:hAnsi="宋体"/>
          <w:kern w:val="0"/>
          <w:sz w:val="28"/>
          <w:szCs w:val="24"/>
        </w:rPr>
        <w:t>2021</w:t>
      </w:r>
      <w:r>
        <w:rPr>
          <w:rFonts w:hint="eastAsia" w:ascii="宋体" w:hAnsi="宋体"/>
          <w:kern w:val="0"/>
          <w:sz w:val="28"/>
          <w:szCs w:val="24"/>
        </w:rPr>
        <w:t>年度收入总计</w:t>
      </w:r>
      <w:r>
        <w:rPr>
          <w:rFonts w:ascii="宋体" w:hAnsi="宋体"/>
          <w:kern w:val="0"/>
          <w:sz w:val="28"/>
          <w:szCs w:val="24"/>
        </w:rPr>
        <w:t>522.91</w:t>
      </w:r>
      <w:r>
        <w:rPr>
          <w:rFonts w:hint="eastAsia" w:ascii="宋体" w:hAnsi="宋体"/>
          <w:kern w:val="0"/>
          <w:sz w:val="28"/>
          <w:szCs w:val="24"/>
        </w:rPr>
        <w:t>万元</w:t>
      </w:r>
      <w:r>
        <w:rPr>
          <w:rFonts w:ascii="宋体" w:hAnsi="宋体"/>
          <w:kern w:val="0"/>
          <w:sz w:val="28"/>
          <w:szCs w:val="24"/>
        </w:rPr>
        <w:t>(</w:t>
      </w:r>
      <w:r>
        <w:rPr>
          <w:rFonts w:hint="eastAsia" w:ascii="宋体" w:hAnsi="宋体"/>
          <w:kern w:val="0"/>
          <w:sz w:val="28"/>
          <w:szCs w:val="24"/>
        </w:rPr>
        <w:t>含年初结转和结余资金</w:t>
      </w:r>
      <w:r>
        <w:rPr>
          <w:rFonts w:ascii="宋体" w:hAnsi="宋体"/>
          <w:kern w:val="0"/>
          <w:sz w:val="28"/>
          <w:szCs w:val="24"/>
        </w:rPr>
        <w:t>0</w:t>
      </w:r>
      <w:r>
        <w:rPr>
          <w:rFonts w:hint="eastAsia" w:ascii="宋体" w:hAnsi="宋体"/>
          <w:kern w:val="0"/>
          <w:sz w:val="28"/>
          <w:szCs w:val="24"/>
        </w:rPr>
        <w:t>万元），与上年相比增加</w:t>
      </w:r>
      <w:r>
        <w:rPr>
          <w:rFonts w:ascii="宋体" w:hAnsi="宋体"/>
          <w:kern w:val="0"/>
          <w:sz w:val="28"/>
          <w:szCs w:val="24"/>
        </w:rPr>
        <w:t>45.02</w:t>
      </w:r>
      <w:r>
        <w:rPr>
          <w:rFonts w:hint="eastAsia" w:ascii="宋体" w:hAnsi="宋体"/>
          <w:kern w:val="0"/>
          <w:sz w:val="28"/>
          <w:szCs w:val="24"/>
        </w:rPr>
        <w:t>万元，增长</w:t>
      </w:r>
      <w:r>
        <w:rPr>
          <w:rFonts w:ascii="宋体" w:hAnsi="宋体"/>
          <w:kern w:val="0"/>
          <w:sz w:val="28"/>
          <w:szCs w:val="24"/>
        </w:rPr>
        <w:t>9.42%</w:t>
      </w:r>
      <w:r>
        <w:rPr>
          <w:rFonts w:hint="eastAsia" w:ascii="宋体" w:hAnsi="宋体"/>
          <w:kern w:val="0"/>
          <w:sz w:val="28"/>
          <w:szCs w:val="24"/>
        </w:rPr>
        <w:t>，主要原因是因为人员工资普调。</w:t>
      </w:r>
    </w:p>
    <w:p>
      <w:pPr>
        <w:widowControl/>
        <w:spacing w:line="600" w:lineRule="exact"/>
        <w:ind w:firstLine="560" w:firstLineChars="200"/>
        <w:jc w:val="left"/>
        <w:rPr>
          <w:kern w:val="0"/>
          <w:sz w:val="28"/>
          <w:szCs w:val="24"/>
        </w:rPr>
      </w:pPr>
      <w:r>
        <w:rPr>
          <w:rFonts w:ascii="宋体" w:hAnsi="宋体"/>
          <w:kern w:val="0"/>
          <w:sz w:val="28"/>
          <w:szCs w:val="24"/>
        </w:rPr>
        <w:t>2021</w:t>
      </w:r>
      <w:r>
        <w:rPr>
          <w:rFonts w:hint="eastAsia" w:ascii="宋体" w:hAnsi="宋体"/>
          <w:kern w:val="0"/>
          <w:sz w:val="28"/>
          <w:szCs w:val="24"/>
        </w:rPr>
        <w:t>年度支出总计</w:t>
      </w:r>
      <w:r>
        <w:rPr>
          <w:rFonts w:ascii="宋体" w:hAnsi="宋体"/>
          <w:kern w:val="0"/>
          <w:sz w:val="28"/>
          <w:szCs w:val="24"/>
        </w:rPr>
        <w:t>522.91</w:t>
      </w:r>
      <w:r>
        <w:rPr>
          <w:rFonts w:hint="eastAsia" w:ascii="宋体" w:hAnsi="宋体"/>
          <w:kern w:val="0"/>
          <w:sz w:val="28"/>
          <w:szCs w:val="24"/>
        </w:rPr>
        <w:t>万元</w:t>
      </w:r>
      <w:r>
        <w:rPr>
          <w:rFonts w:ascii="宋体" w:hAnsi="宋体"/>
          <w:kern w:val="0"/>
          <w:sz w:val="28"/>
          <w:szCs w:val="24"/>
        </w:rPr>
        <w:t>(</w:t>
      </w:r>
      <w:r>
        <w:rPr>
          <w:rFonts w:hint="eastAsia" w:ascii="宋体" w:hAnsi="宋体"/>
          <w:kern w:val="0"/>
          <w:sz w:val="28"/>
          <w:szCs w:val="24"/>
        </w:rPr>
        <w:t>含年末结转和结余资金</w:t>
      </w:r>
      <w:r>
        <w:rPr>
          <w:rFonts w:ascii="宋体" w:hAnsi="宋体"/>
          <w:kern w:val="0"/>
          <w:sz w:val="28"/>
          <w:szCs w:val="24"/>
        </w:rPr>
        <w:t>38.19</w:t>
      </w:r>
      <w:r>
        <w:rPr>
          <w:rFonts w:hint="eastAsia" w:ascii="宋体" w:hAnsi="宋体"/>
          <w:kern w:val="0"/>
          <w:sz w:val="28"/>
          <w:szCs w:val="24"/>
        </w:rPr>
        <w:t>万元），与上年相比增加</w:t>
      </w:r>
      <w:r>
        <w:rPr>
          <w:rFonts w:ascii="宋体" w:hAnsi="宋体"/>
          <w:kern w:val="0"/>
          <w:sz w:val="28"/>
          <w:szCs w:val="24"/>
        </w:rPr>
        <w:t>45.02</w:t>
      </w:r>
      <w:r>
        <w:rPr>
          <w:rFonts w:hint="eastAsia" w:ascii="宋体" w:hAnsi="宋体"/>
          <w:kern w:val="0"/>
          <w:sz w:val="28"/>
          <w:szCs w:val="24"/>
        </w:rPr>
        <w:t>万元，增长</w:t>
      </w:r>
      <w:r>
        <w:rPr>
          <w:rFonts w:ascii="宋体" w:hAnsi="宋体"/>
          <w:kern w:val="0"/>
          <w:sz w:val="28"/>
          <w:szCs w:val="24"/>
        </w:rPr>
        <w:t>9.42%</w:t>
      </w:r>
      <w:r>
        <w:rPr>
          <w:rFonts w:hint="eastAsia" w:ascii="宋体" w:hAnsi="宋体"/>
          <w:kern w:val="0"/>
          <w:sz w:val="28"/>
          <w:szCs w:val="24"/>
        </w:rPr>
        <w:t>，主要原因是因为人员工资普调。</w:t>
      </w:r>
    </w:p>
    <w:p>
      <w:pPr>
        <w:widowControl/>
        <w:spacing w:line="600" w:lineRule="exact"/>
        <w:ind w:firstLine="562" w:firstLineChars="200"/>
        <w:jc w:val="left"/>
        <w:rPr>
          <w:rFonts w:ascii="宋体"/>
          <w:b/>
          <w:kern w:val="0"/>
          <w:sz w:val="28"/>
          <w:szCs w:val="24"/>
        </w:rPr>
      </w:pPr>
      <w:r>
        <w:rPr>
          <w:rFonts w:hint="eastAsia" w:ascii="宋体" w:hAnsi="宋体"/>
          <w:b/>
          <w:kern w:val="0"/>
          <w:sz w:val="28"/>
          <w:szCs w:val="24"/>
        </w:rPr>
        <w:t>二、收入决算情况说明</w:t>
      </w:r>
    </w:p>
    <w:p>
      <w:pPr>
        <w:widowControl/>
        <w:spacing w:line="600" w:lineRule="exact"/>
        <w:ind w:firstLine="560" w:firstLineChars="200"/>
        <w:jc w:val="left"/>
        <w:rPr>
          <w:rFonts w:ascii="宋体"/>
          <w:kern w:val="0"/>
          <w:sz w:val="28"/>
          <w:szCs w:val="24"/>
        </w:rPr>
      </w:pPr>
      <w:r>
        <w:rPr>
          <w:rFonts w:ascii="宋体" w:hAnsi="宋体"/>
          <w:kern w:val="0"/>
          <w:sz w:val="28"/>
          <w:szCs w:val="24"/>
        </w:rPr>
        <w:t>2021</w:t>
      </w:r>
      <w:r>
        <w:rPr>
          <w:rFonts w:hint="eastAsia" w:ascii="宋体" w:hAnsi="宋体"/>
          <w:kern w:val="0"/>
          <w:sz w:val="28"/>
          <w:szCs w:val="24"/>
        </w:rPr>
        <w:t>年度收入合计</w:t>
      </w:r>
      <w:r>
        <w:rPr>
          <w:rFonts w:ascii="宋体" w:hAnsi="宋体"/>
          <w:kern w:val="0"/>
          <w:sz w:val="28"/>
          <w:szCs w:val="24"/>
        </w:rPr>
        <w:t>522.91</w:t>
      </w:r>
      <w:r>
        <w:rPr>
          <w:rFonts w:hint="eastAsia" w:ascii="宋体" w:hAnsi="宋体"/>
          <w:kern w:val="0"/>
          <w:sz w:val="28"/>
          <w:szCs w:val="24"/>
        </w:rPr>
        <w:t>万元（不含年初结转和结余资金），其中：财政拨款收入</w:t>
      </w:r>
      <w:r>
        <w:rPr>
          <w:rFonts w:ascii="宋体" w:hAnsi="宋体"/>
          <w:kern w:val="0"/>
          <w:sz w:val="28"/>
          <w:szCs w:val="24"/>
        </w:rPr>
        <w:t>463.8</w:t>
      </w:r>
      <w:r>
        <w:rPr>
          <w:rFonts w:hint="eastAsia" w:ascii="宋体" w:hAnsi="宋体"/>
          <w:kern w:val="0"/>
          <w:sz w:val="28"/>
          <w:szCs w:val="24"/>
        </w:rPr>
        <w:t>0万元，占</w:t>
      </w:r>
      <w:r>
        <w:rPr>
          <w:rFonts w:ascii="宋体" w:hAnsi="宋体"/>
          <w:kern w:val="0"/>
          <w:sz w:val="28"/>
          <w:szCs w:val="24"/>
        </w:rPr>
        <w:t>88.70%</w:t>
      </w:r>
      <w:r>
        <w:rPr>
          <w:rFonts w:hint="eastAsia" w:ascii="宋体" w:hAnsi="宋体"/>
          <w:kern w:val="0"/>
          <w:sz w:val="28"/>
          <w:szCs w:val="24"/>
        </w:rPr>
        <w:t>；上级补助收入</w:t>
      </w:r>
      <w:r>
        <w:rPr>
          <w:rFonts w:ascii="宋体" w:hAnsi="宋体"/>
          <w:kern w:val="0"/>
          <w:sz w:val="28"/>
          <w:szCs w:val="24"/>
        </w:rPr>
        <w:t>0</w:t>
      </w:r>
      <w:r>
        <w:rPr>
          <w:rFonts w:hint="eastAsia" w:ascii="宋体" w:hAnsi="宋体"/>
          <w:kern w:val="0"/>
          <w:sz w:val="28"/>
          <w:szCs w:val="24"/>
        </w:rPr>
        <w:t>万元，占</w:t>
      </w:r>
      <w:r>
        <w:rPr>
          <w:rFonts w:ascii="宋体" w:hAnsi="宋体"/>
          <w:kern w:val="0"/>
          <w:sz w:val="28"/>
          <w:szCs w:val="24"/>
        </w:rPr>
        <w:t>0%</w:t>
      </w:r>
      <w:r>
        <w:rPr>
          <w:rFonts w:hint="eastAsia" w:ascii="宋体" w:hAnsi="宋体"/>
          <w:kern w:val="0"/>
          <w:sz w:val="28"/>
          <w:szCs w:val="24"/>
        </w:rPr>
        <w:t>；事业收入</w:t>
      </w:r>
      <w:r>
        <w:rPr>
          <w:rFonts w:ascii="宋体" w:hAnsi="宋体"/>
          <w:kern w:val="0"/>
          <w:sz w:val="28"/>
          <w:szCs w:val="24"/>
        </w:rPr>
        <w:t>0</w:t>
      </w:r>
      <w:r>
        <w:rPr>
          <w:rFonts w:hint="eastAsia" w:ascii="宋体" w:hAnsi="宋体"/>
          <w:kern w:val="0"/>
          <w:sz w:val="28"/>
          <w:szCs w:val="24"/>
        </w:rPr>
        <w:t>万元，占</w:t>
      </w:r>
      <w:r>
        <w:rPr>
          <w:rFonts w:ascii="宋体" w:hAnsi="宋体"/>
          <w:kern w:val="0"/>
          <w:sz w:val="28"/>
          <w:szCs w:val="24"/>
        </w:rPr>
        <w:t>0%</w:t>
      </w:r>
      <w:r>
        <w:rPr>
          <w:rFonts w:hint="eastAsia" w:ascii="宋体" w:hAnsi="宋体"/>
          <w:kern w:val="0"/>
          <w:sz w:val="28"/>
          <w:szCs w:val="24"/>
        </w:rPr>
        <w:t>；经营收入</w:t>
      </w:r>
      <w:r>
        <w:rPr>
          <w:rFonts w:ascii="宋体" w:hAnsi="宋体"/>
          <w:kern w:val="0"/>
          <w:sz w:val="28"/>
          <w:szCs w:val="24"/>
        </w:rPr>
        <w:t>0</w:t>
      </w:r>
      <w:r>
        <w:rPr>
          <w:rFonts w:hint="eastAsia" w:ascii="宋体" w:hAnsi="宋体"/>
          <w:kern w:val="0"/>
          <w:sz w:val="28"/>
          <w:szCs w:val="24"/>
        </w:rPr>
        <w:t>万元，占</w:t>
      </w:r>
      <w:r>
        <w:rPr>
          <w:rFonts w:ascii="宋体" w:hAnsi="宋体"/>
          <w:kern w:val="0"/>
          <w:sz w:val="28"/>
          <w:szCs w:val="24"/>
        </w:rPr>
        <w:t>0%</w:t>
      </w:r>
      <w:r>
        <w:rPr>
          <w:rFonts w:hint="eastAsia" w:ascii="宋体" w:hAnsi="宋体"/>
          <w:kern w:val="0"/>
          <w:sz w:val="28"/>
          <w:szCs w:val="24"/>
        </w:rPr>
        <w:t>；附属单位上缴收入</w:t>
      </w:r>
      <w:r>
        <w:rPr>
          <w:rFonts w:ascii="宋体" w:hAnsi="宋体"/>
          <w:kern w:val="0"/>
          <w:sz w:val="28"/>
          <w:szCs w:val="24"/>
        </w:rPr>
        <w:t>0</w:t>
      </w:r>
      <w:r>
        <w:rPr>
          <w:rFonts w:hint="eastAsia" w:ascii="宋体" w:hAnsi="宋体"/>
          <w:kern w:val="0"/>
          <w:sz w:val="28"/>
          <w:szCs w:val="24"/>
        </w:rPr>
        <w:t>万元，占</w:t>
      </w:r>
      <w:r>
        <w:rPr>
          <w:rFonts w:ascii="宋体" w:hAnsi="宋体"/>
          <w:kern w:val="0"/>
          <w:sz w:val="28"/>
          <w:szCs w:val="24"/>
        </w:rPr>
        <w:t>0%</w:t>
      </w:r>
      <w:r>
        <w:rPr>
          <w:rFonts w:hint="eastAsia" w:ascii="宋体" w:hAnsi="宋体"/>
          <w:kern w:val="0"/>
          <w:sz w:val="28"/>
          <w:szCs w:val="24"/>
        </w:rPr>
        <w:t>；其他收入</w:t>
      </w:r>
      <w:r>
        <w:rPr>
          <w:rFonts w:ascii="宋体" w:hAnsi="宋体"/>
          <w:kern w:val="0"/>
          <w:sz w:val="28"/>
          <w:szCs w:val="24"/>
        </w:rPr>
        <w:t>59.11</w:t>
      </w:r>
      <w:r>
        <w:rPr>
          <w:rFonts w:hint="eastAsia" w:ascii="宋体" w:hAnsi="宋体"/>
          <w:kern w:val="0"/>
          <w:sz w:val="28"/>
          <w:szCs w:val="24"/>
        </w:rPr>
        <w:t>万元，占</w:t>
      </w:r>
      <w:r>
        <w:rPr>
          <w:rFonts w:ascii="宋体" w:hAnsi="宋体"/>
          <w:kern w:val="0"/>
          <w:sz w:val="28"/>
          <w:szCs w:val="24"/>
        </w:rPr>
        <w:t>11.30%</w:t>
      </w:r>
      <w:r>
        <w:rPr>
          <w:rFonts w:hint="eastAsia" w:ascii="宋体" w:hAnsi="宋体"/>
          <w:kern w:val="0"/>
          <w:sz w:val="28"/>
          <w:szCs w:val="24"/>
        </w:rPr>
        <w:t>。</w:t>
      </w:r>
    </w:p>
    <w:p>
      <w:pPr>
        <w:widowControl/>
        <w:spacing w:line="600" w:lineRule="exact"/>
        <w:ind w:firstLine="562" w:firstLineChars="200"/>
        <w:jc w:val="left"/>
        <w:rPr>
          <w:rFonts w:ascii="宋体"/>
          <w:b/>
          <w:kern w:val="0"/>
          <w:sz w:val="28"/>
          <w:szCs w:val="24"/>
        </w:rPr>
      </w:pPr>
      <w:r>
        <w:rPr>
          <w:rFonts w:hint="eastAsia" w:ascii="宋体" w:hAnsi="宋体"/>
          <w:b/>
          <w:kern w:val="0"/>
          <w:sz w:val="28"/>
          <w:szCs w:val="24"/>
        </w:rPr>
        <w:t>三、支出决算情况说明</w:t>
      </w:r>
    </w:p>
    <w:p>
      <w:pPr>
        <w:widowControl/>
        <w:spacing w:line="600" w:lineRule="exact"/>
        <w:ind w:firstLine="560" w:firstLineChars="200"/>
        <w:jc w:val="left"/>
        <w:rPr>
          <w:rFonts w:ascii="宋体"/>
          <w:kern w:val="0"/>
          <w:sz w:val="28"/>
          <w:szCs w:val="24"/>
        </w:rPr>
      </w:pPr>
      <w:r>
        <w:rPr>
          <w:rFonts w:ascii="宋体" w:hAnsi="宋体"/>
          <w:kern w:val="0"/>
          <w:sz w:val="28"/>
          <w:szCs w:val="24"/>
        </w:rPr>
        <w:t>2021</w:t>
      </w:r>
      <w:r>
        <w:rPr>
          <w:rFonts w:hint="eastAsia" w:ascii="宋体" w:hAnsi="宋体"/>
          <w:kern w:val="0"/>
          <w:sz w:val="28"/>
          <w:szCs w:val="24"/>
        </w:rPr>
        <w:t>年度支出合计</w:t>
      </w:r>
      <w:r>
        <w:rPr>
          <w:rFonts w:ascii="宋体" w:hAnsi="宋体"/>
          <w:kern w:val="0"/>
          <w:sz w:val="28"/>
          <w:szCs w:val="24"/>
        </w:rPr>
        <w:t>484.72</w:t>
      </w:r>
      <w:r>
        <w:rPr>
          <w:rFonts w:hint="eastAsia" w:ascii="宋体" w:hAnsi="宋体"/>
          <w:kern w:val="0"/>
          <w:sz w:val="28"/>
          <w:szCs w:val="24"/>
        </w:rPr>
        <w:t>万元（不含年末结转和结余资金），其中：基本支出</w:t>
      </w:r>
      <w:r>
        <w:rPr>
          <w:rFonts w:ascii="宋体" w:hAnsi="宋体"/>
          <w:kern w:val="0"/>
          <w:sz w:val="28"/>
          <w:szCs w:val="24"/>
        </w:rPr>
        <w:t>484.72</w:t>
      </w:r>
      <w:r>
        <w:rPr>
          <w:rFonts w:hint="eastAsia" w:ascii="宋体" w:hAnsi="宋体"/>
          <w:kern w:val="0"/>
          <w:sz w:val="28"/>
          <w:szCs w:val="24"/>
        </w:rPr>
        <w:t>万元，占</w:t>
      </w:r>
      <w:r>
        <w:rPr>
          <w:rFonts w:ascii="宋体" w:hAnsi="宋体"/>
          <w:kern w:val="0"/>
          <w:sz w:val="28"/>
          <w:szCs w:val="24"/>
        </w:rPr>
        <w:t>100%</w:t>
      </w:r>
      <w:r>
        <w:rPr>
          <w:rFonts w:hint="eastAsia" w:ascii="宋体" w:hAnsi="宋体"/>
          <w:kern w:val="0"/>
          <w:sz w:val="28"/>
          <w:szCs w:val="24"/>
        </w:rPr>
        <w:t>。项目支出</w:t>
      </w:r>
      <w:r>
        <w:rPr>
          <w:rFonts w:ascii="宋体" w:hAnsi="宋体"/>
          <w:kern w:val="0"/>
          <w:sz w:val="28"/>
          <w:szCs w:val="24"/>
        </w:rPr>
        <w:t>0</w:t>
      </w:r>
      <w:r>
        <w:rPr>
          <w:rFonts w:hint="eastAsia" w:ascii="宋体" w:hAnsi="宋体"/>
          <w:kern w:val="0"/>
          <w:sz w:val="28"/>
          <w:szCs w:val="24"/>
        </w:rPr>
        <w:t>万元，占</w:t>
      </w:r>
      <w:r>
        <w:rPr>
          <w:rFonts w:ascii="宋体" w:hAnsi="宋体"/>
          <w:kern w:val="0"/>
          <w:sz w:val="28"/>
          <w:szCs w:val="24"/>
        </w:rPr>
        <w:t>0%</w:t>
      </w:r>
      <w:r>
        <w:rPr>
          <w:rFonts w:hint="eastAsia" w:ascii="宋体" w:hAnsi="宋体"/>
          <w:kern w:val="0"/>
          <w:sz w:val="28"/>
          <w:szCs w:val="24"/>
        </w:rPr>
        <w:t>。上缴上级支出</w:t>
      </w:r>
      <w:r>
        <w:rPr>
          <w:rFonts w:ascii="宋体" w:hAnsi="宋体"/>
          <w:kern w:val="0"/>
          <w:sz w:val="28"/>
          <w:szCs w:val="24"/>
        </w:rPr>
        <w:t>0</w:t>
      </w:r>
      <w:r>
        <w:rPr>
          <w:rFonts w:hint="eastAsia" w:ascii="宋体" w:hAnsi="宋体"/>
          <w:kern w:val="0"/>
          <w:sz w:val="28"/>
          <w:szCs w:val="24"/>
        </w:rPr>
        <w:t>万元，占</w:t>
      </w:r>
      <w:r>
        <w:rPr>
          <w:rFonts w:ascii="宋体" w:hAnsi="宋体"/>
          <w:kern w:val="0"/>
          <w:sz w:val="28"/>
          <w:szCs w:val="24"/>
        </w:rPr>
        <w:t>0%</w:t>
      </w:r>
      <w:r>
        <w:rPr>
          <w:rFonts w:hint="eastAsia" w:ascii="宋体" w:hAnsi="宋体"/>
          <w:kern w:val="0"/>
          <w:sz w:val="28"/>
          <w:szCs w:val="24"/>
        </w:rPr>
        <w:t>；经营支出</w:t>
      </w:r>
      <w:r>
        <w:rPr>
          <w:rFonts w:ascii="宋体" w:hAnsi="宋体"/>
          <w:kern w:val="0"/>
          <w:sz w:val="28"/>
          <w:szCs w:val="24"/>
        </w:rPr>
        <w:t>0</w:t>
      </w:r>
      <w:r>
        <w:rPr>
          <w:rFonts w:hint="eastAsia" w:ascii="宋体" w:hAnsi="宋体"/>
          <w:kern w:val="0"/>
          <w:sz w:val="28"/>
          <w:szCs w:val="24"/>
        </w:rPr>
        <w:t>万元，占</w:t>
      </w:r>
      <w:r>
        <w:rPr>
          <w:rFonts w:ascii="宋体" w:hAnsi="宋体"/>
          <w:kern w:val="0"/>
          <w:sz w:val="28"/>
          <w:szCs w:val="24"/>
        </w:rPr>
        <w:t>0%</w:t>
      </w:r>
      <w:r>
        <w:rPr>
          <w:rFonts w:hint="eastAsia" w:ascii="宋体" w:hAnsi="宋体"/>
          <w:kern w:val="0"/>
          <w:sz w:val="28"/>
          <w:szCs w:val="24"/>
        </w:rPr>
        <w:t>；对附属单位补助支出</w:t>
      </w:r>
      <w:r>
        <w:rPr>
          <w:rFonts w:ascii="宋体" w:hAnsi="宋体"/>
          <w:kern w:val="0"/>
          <w:sz w:val="28"/>
          <w:szCs w:val="24"/>
        </w:rPr>
        <w:t>0</w:t>
      </w:r>
      <w:r>
        <w:rPr>
          <w:rFonts w:hint="eastAsia" w:ascii="宋体" w:hAnsi="宋体"/>
          <w:kern w:val="0"/>
          <w:sz w:val="28"/>
          <w:szCs w:val="24"/>
        </w:rPr>
        <w:t>万元，占</w:t>
      </w:r>
      <w:r>
        <w:rPr>
          <w:rFonts w:ascii="宋体" w:hAnsi="宋体"/>
          <w:kern w:val="0"/>
          <w:sz w:val="28"/>
          <w:szCs w:val="24"/>
        </w:rPr>
        <w:t>0%</w:t>
      </w:r>
      <w:r>
        <w:rPr>
          <w:rFonts w:hint="eastAsia" w:ascii="宋体" w:hAnsi="宋体"/>
          <w:kern w:val="0"/>
          <w:sz w:val="28"/>
          <w:szCs w:val="24"/>
        </w:rPr>
        <w:t>。</w:t>
      </w:r>
    </w:p>
    <w:p>
      <w:pPr>
        <w:widowControl/>
        <w:spacing w:line="600" w:lineRule="exact"/>
        <w:ind w:firstLine="562" w:firstLineChars="200"/>
        <w:jc w:val="left"/>
        <w:rPr>
          <w:rFonts w:ascii="宋体"/>
          <w:b/>
          <w:kern w:val="0"/>
          <w:sz w:val="28"/>
          <w:szCs w:val="24"/>
        </w:rPr>
      </w:pPr>
      <w:r>
        <w:rPr>
          <w:rFonts w:hint="eastAsia" w:ascii="宋体" w:hAnsi="宋体"/>
          <w:b/>
          <w:kern w:val="0"/>
          <w:sz w:val="28"/>
          <w:szCs w:val="24"/>
        </w:rPr>
        <w:t>四、财政拨款收入支出决算总体情况说明</w:t>
      </w:r>
    </w:p>
    <w:p>
      <w:pPr>
        <w:widowControl/>
        <w:spacing w:line="600" w:lineRule="exact"/>
        <w:ind w:firstLine="560" w:firstLineChars="200"/>
        <w:jc w:val="left"/>
        <w:rPr>
          <w:rFonts w:ascii="宋体" w:hAnsi="宋体"/>
          <w:kern w:val="0"/>
          <w:sz w:val="28"/>
          <w:szCs w:val="24"/>
        </w:rPr>
      </w:pPr>
      <w:r>
        <w:rPr>
          <w:rFonts w:ascii="宋体" w:hAnsi="宋体"/>
          <w:kern w:val="0"/>
          <w:sz w:val="28"/>
          <w:szCs w:val="24"/>
        </w:rPr>
        <w:t>2021</w:t>
      </w:r>
      <w:r>
        <w:rPr>
          <w:rFonts w:hint="eastAsia" w:ascii="宋体" w:hAnsi="宋体"/>
          <w:kern w:val="0"/>
          <w:sz w:val="28"/>
          <w:szCs w:val="24"/>
        </w:rPr>
        <w:t>年度财政拨款收入合计</w:t>
      </w:r>
      <w:r>
        <w:rPr>
          <w:rFonts w:ascii="宋体" w:hAnsi="宋体"/>
          <w:kern w:val="0"/>
          <w:sz w:val="28"/>
          <w:szCs w:val="24"/>
        </w:rPr>
        <w:t>463.80</w:t>
      </w:r>
      <w:r>
        <w:rPr>
          <w:rFonts w:hint="eastAsia" w:ascii="宋体" w:hAnsi="宋体"/>
          <w:kern w:val="0"/>
          <w:sz w:val="28"/>
          <w:szCs w:val="24"/>
        </w:rPr>
        <w:t>万元（不含年初财政拨款结转和结余资金），与上年相比，增加</w:t>
      </w:r>
      <w:r>
        <w:rPr>
          <w:rFonts w:ascii="宋体" w:hAnsi="宋体"/>
          <w:kern w:val="0"/>
          <w:sz w:val="28"/>
          <w:szCs w:val="24"/>
        </w:rPr>
        <w:t>67.79</w:t>
      </w:r>
      <w:r>
        <w:rPr>
          <w:rFonts w:hint="eastAsia" w:ascii="宋体" w:hAnsi="宋体"/>
          <w:kern w:val="0"/>
          <w:sz w:val="28"/>
          <w:szCs w:val="24"/>
        </w:rPr>
        <w:t>万元，增长</w:t>
      </w:r>
      <w:r>
        <w:rPr>
          <w:rFonts w:ascii="宋体" w:hAnsi="宋体"/>
          <w:kern w:val="0"/>
          <w:sz w:val="28"/>
          <w:szCs w:val="24"/>
        </w:rPr>
        <w:t>17.12%</w:t>
      </w:r>
      <w:r>
        <w:rPr>
          <w:rFonts w:hint="eastAsia" w:ascii="宋体" w:hAnsi="宋体"/>
          <w:kern w:val="0"/>
          <w:sz w:val="28"/>
          <w:szCs w:val="24"/>
        </w:rPr>
        <w:t>，主要是因为人员工资普调。</w:t>
      </w:r>
    </w:p>
    <w:p>
      <w:pPr>
        <w:widowControl/>
        <w:spacing w:line="600" w:lineRule="exact"/>
        <w:ind w:firstLine="560" w:firstLineChars="200"/>
        <w:jc w:val="left"/>
        <w:rPr>
          <w:kern w:val="0"/>
          <w:sz w:val="28"/>
          <w:szCs w:val="24"/>
        </w:rPr>
      </w:pPr>
      <w:r>
        <w:rPr>
          <w:rFonts w:ascii="宋体" w:hAnsi="宋体"/>
          <w:kern w:val="0"/>
          <w:sz w:val="28"/>
          <w:szCs w:val="24"/>
        </w:rPr>
        <w:t>2021</w:t>
      </w:r>
      <w:r>
        <w:rPr>
          <w:rFonts w:hint="eastAsia" w:ascii="宋体" w:hAnsi="宋体"/>
          <w:kern w:val="0"/>
          <w:sz w:val="28"/>
          <w:szCs w:val="24"/>
        </w:rPr>
        <w:t>年度财政拨款支出合计</w:t>
      </w:r>
      <w:r>
        <w:rPr>
          <w:rFonts w:ascii="宋体" w:hAnsi="宋体"/>
          <w:kern w:val="0"/>
          <w:sz w:val="28"/>
          <w:szCs w:val="24"/>
        </w:rPr>
        <w:t>425.61</w:t>
      </w:r>
      <w:r>
        <w:rPr>
          <w:rFonts w:hint="eastAsia" w:ascii="宋体" w:hAnsi="宋体"/>
          <w:kern w:val="0"/>
          <w:sz w:val="28"/>
          <w:szCs w:val="24"/>
        </w:rPr>
        <w:t>万元（不含年初财政拨款结转和结余资金），与上年相比，增加</w:t>
      </w:r>
      <w:r>
        <w:rPr>
          <w:rFonts w:ascii="宋体" w:hAnsi="宋体"/>
          <w:kern w:val="0"/>
          <w:sz w:val="28"/>
          <w:szCs w:val="24"/>
        </w:rPr>
        <w:t>12.88</w:t>
      </w:r>
      <w:r>
        <w:rPr>
          <w:rFonts w:hint="eastAsia" w:ascii="宋体" w:hAnsi="宋体"/>
          <w:kern w:val="0"/>
          <w:sz w:val="28"/>
          <w:szCs w:val="24"/>
        </w:rPr>
        <w:t>万元，增长</w:t>
      </w:r>
      <w:r>
        <w:rPr>
          <w:rFonts w:ascii="宋体" w:hAnsi="宋体"/>
          <w:kern w:val="0"/>
          <w:sz w:val="28"/>
          <w:szCs w:val="24"/>
        </w:rPr>
        <w:t>3.12%</w:t>
      </w:r>
      <w:r>
        <w:rPr>
          <w:rFonts w:hint="eastAsia" w:ascii="宋体" w:hAnsi="宋体"/>
          <w:kern w:val="0"/>
          <w:sz w:val="28"/>
          <w:szCs w:val="24"/>
        </w:rPr>
        <w:t>。主要是因为人员工资普调。</w:t>
      </w:r>
    </w:p>
    <w:p>
      <w:pPr>
        <w:widowControl/>
        <w:spacing w:line="600" w:lineRule="exact"/>
        <w:ind w:firstLine="562" w:firstLineChars="200"/>
        <w:jc w:val="left"/>
        <w:rPr>
          <w:rFonts w:ascii="宋体"/>
          <w:b/>
          <w:kern w:val="0"/>
          <w:sz w:val="28"/>
          <w:szCs w:val="24"/>
        </w:rPr>
      </w:pPr>
      <w:r>
        <w:rPr>
          <w:rFonts w:hint="eastAsia" w:ascii="宋体" w:hAnsi="宋体"/>
          <w:b/>
          <w:kern w:val="0"/>
          <w:sz w:val="28"/>
          <w:szCs w:val="24"/>
        </w:rPr>
        <w:t>五、一般公共预算财政拨款支出决算情况说明</w:t>
      </w:r>
    </w:p>
    <w:p>
      <w:pPr>
        <w:widowControl/>
        <w:spacing w:line="600" w:lineRule="exact"/>
        <w:ind w:firstLine="562" w:firstLineChars="200"/>
        <w:jc w:val="left"/>
        <w:rPr>
          <w:rFonts w:ascii="宋体"/>
          <w:b/>
          <w:kern w:val="0"/>
          <w:sz w:val="28"/>
          <w:szCs w:val="24"/>
        </w:rPr>
      </w:pPr>
      <w:r>
        <w:rPr>
          <w:rFonts w:hint="eastAsia" w:ascii="宋体" w:hAnsi="宋体"/>
          <w:b/>
          <w:kern w:val="0"/>
          <w:sz w:val="28"/>
          <w:szCs w:val="24"/>
        </w:rPr>
        <w:t>（一）财政拨款支出决算总体情况</w:t>
      </w:r>
    </w:p>
    <w:p>
      <w:pPr>
        <w:widowControl/>
        <w:spacing w:line="600" w:lineRule="exact"/>
        <w:ind w:firstLine="560" w:firstLineChars="200"/>
        <w:jc w:val="left"/>
        <w:rPr>
          <w:kern w:val="0"/>
          <w:sz w:val="28"/>
          <w:szCs w:val="24"/>
        </w:rPr>
      </w:pPr>
      <w:r>
        <w:rPr>
          <w:rFonts w:ascii="宋体" w:hAnsi="宋体"/>
          <w:kern w:val="0"/>
          <w:sz w:val="28"/>
          <w:szCs w:val="24"/>
        </w:rPr>
        <w:t>2021</w:t>
      </w:r>
      <w:r>
        <w:rPr>
          <w:rFonts w:hint="eastAsia" w:ascii="宋体" w:hAnsi="宋体"/>
          <w:kern w:val="0"/>
          <w:sz w:val="28"/>
          <w:szCs w:val="24"/>
        </w:rPr>
        <w:t>年度财政拨款支出</w:t>
      </w:r>
      <w:r>
        <w:rPr>
          <w:rFonts w:ascii="宋体" w:hAnsi="宋体"/>
          <w:kern w:val="0"/>
          <w:sz w:val="28"/>
          <w:szCs w:val="24"/>
        </w:rPr>
        <w:t>425.61</w:t>
      </w:r>
      <w:r>
        <w:rPr>
          <w:rFonts w:hint="eastAsia" w:ascii="宋体" w:hAnsi="宋体"/>
          <w:kern w:val="0"/>
          <w:sz w:val="28"/>
          <w:szCs w:val="24"/>
        </w:rPr>
        <w:t>万元，占本年支出合计的</w:t>
      </w:r>
      <w:r>
        <w:rPr>
          <w:rFonts w:ascii="宋体" w:hAnsi="宋体"/>
          <w:kern w:val="0"/>
          <w:sz w:val="28"/>
          <w:szCs w:val="24"/>
        </w:rPr>
        <w:t>81.39%</w:t>
      </w:r>
      <w:r>
        <w:rPr>
          <w:rFonts w:hint="eastAsia" w:ascii="宋体" w:hAnsi="宋体"/>
          <w:kern w:val="0"/>
          <w:sz w:val="28"/>
          <w:szCs w:val="24"/>
        </w:rPr>
        <w:t>。与上年相比财政拨款支出增加</w:t>
      </w:r>
      <w:r>
        <w:rPr>
          <w:rFonts w:ascii="宋体" w:hAnsi="宋体"/>
          <w:kern w:val="0"/>
          <w:sz w:val="28"/>
          <w:szCs w:val="24"/>
        </w:rPr>
        <w:t>12.88</w:t>
      </w:r>
      <w:r>
        <w:rPr>
          <w:rFonts w:hint="eastAsia" w:ascii="宋体" w:hAnsi="宋体"/>
          <w:kern w:val="0"/>
          <w:sz w:val="28"/>
          <w:szCs w:val="24"/>
        </w:rPr>
        <w:t>万元，增长</w:t>
      </w:r>
      <w:r>
        <w:rPr>
          <w:rFonts w:ascii="宋体" w:hAnsi="宋体"/>
          <w:kern w:val="0"/>
          <w:sz w:val="28"/>
          <w:szCs w:val="24"/>
        </w:rPr>
        <w:t>3.12%,</w:t>
      </w:r>
      <w:r>
        <w:rPr>
          <w:rFonts w:hint="eastAsia" w:ascii="宋体" w:hAnsi="宋体"/>
          <w:kern w:val="0"/>
          <w:sz w:val="28"/>
          <w:szCs w:val="24"/>
        </w:rPr>
        <w:t>主要是因为人员工资普调。</w:t>
      </w:r>
    </w:p>
    <w:p>
      <w:pPr>
        <w:widowControl/>
        <w:spacing w:line="600" w:lineRule="exact"/>
        <w:ind w:firstLine="562" w:firstLineChars="200"/>
        <w:jc w:val="left"/>
        <w:rPr>
          <w:rFonts w:ascii="宋体"/>
          <w:b/>
          <w:kern w:val="0"/>
          <w:sz w:val="28"/>
          <w:szCs w:val="24"/>
        </w:rPr>
      </w:pPr>
      <w:r>
        <w:rPr>
          <w:rFonts w:hint="eastAsia" w:ascii="宋体" w:hAnsi="宋体"/>
          <w:b/>
          <w:kern w:val="0"/>
          <w:sz w:val="28"/>
          <w:szCs w:val="24"/>
        </w:rPr>
        <w:t>（二）财政拨款支出决算结构情况</w:t>
      </w:r>
    </w:p>
    <w:p>
      <w:pPr>
        <w:widowControl/>
        <w:spacing w:line="600" w:lineRule="exact"/>
        <w:ind w:firstLine="560" w:firstLineChars="200"/>
        <w:jc w:val="left"/>
        <w:rPr>
          <w:rFonts w:ascii="宋体"/>
          <w:kern w:val="0"/>
          <w:sz w:val="28"/>
          <w:szCs w:val="24"/>
        </w:rPr>
      </w:pPr>
      <w:r>
        <w:rPr>
          <w:rFonts w:ascii="宋体" w:hAnsi="宋体"/>
          <w:kern w:val="0"/>
          <w:sz w:val="28"/>
          <w:szCs w:val="24"/>
        </w:rPr>
        <w:t>2021</w:t>
      </w:r>
      <w:r>
        <w:rPr>
          <w:rFonts w:hint="eastAsia" w:ascii="宋体" w:hAnsi="宋体"/>
          <w:kern w:val="0"/>
          <w:sz w:val="28"/>
          <w:szCs w:val="24"/>
        </w:rPr>
        <w:t>年度财政拨款支出</w:t>
      </w:r>
      <w:r>
        <w:rPr>
          <w:rFonts w:ascii="宋体" w:hAnsi="宋体"/>
          <w:kern w:val="0"/>
          <w:sz w:val="28"/>
          <w:szCs w:val="24"/>
        </w:rPr>
        <w:t>425.61</w:t>
      </w:r>
      <w:r>
        <w:rPr>
          <w:rFonts w:hint="eastAsia" w:ascii="宋体" w:hAnsi="宋体"/>
          <w:kern w:val="0"/>
          <w:sz w:val="28"/>
          <w:szCs w:val="24"/>
        </w:rPr>
        <w:t>万元，主要用于以下方面：农林水</w:t>
      </w:r>
      <w:r>
        <w:rPr>
          <w:rFonts w:ascii="宋体" w:hAnsi="宋体"/>
          <w:kern w:val="0"/>
          <w:sz w:val="28"/>
          <w:szCs w:val="24"/>
        </w:rPr>
        <w:t>425.61</w:t>
      </w:r>
      <w:r>
        <w:rPr>
          <w:rFonts w:hint="eastAsia" w:ascii="宋体" w:hAnsi="宋体"/>
          <w:kern w:val="0"/>
          <w:sz w:val="28"/>
          <w:szCs w:val="24"/>
        </w:rPr>
        <w:t>万元，占</w:t>
      </w:r>
      <w:r>
        <w:rPr>
          <w:rFonts w:ascii="宋体" w:hAnsi="宋体"/>
          <w:kern w:val="0"/>
          <w:sz w:val="28"/>
          <w:szCs w:val="24"/>
        </w:rPr>
        <w:t>100%</w:t>
      </w:r>
      <w:r>
        <w:rPr>
          <w:rFonts w:hint="eastAsia" w:ascii="宋体" w:hAnsi="宋体"/>
          <w:kern w:val="0"/>
          <w:sz w:val="28"/>
          <w:szCs w:val="24"/>
        </w:rPr>
        <w:t>。</w:t>
      </w:r>
    </w:p>
    <w:p>
      <w:pPr>
        <w:widowControl/>
        <w:spacing w:line="600" w:lineRule="exact"/>
        <w:ind w:firstLine="562" w:firstLineChars="200"/>
        <w:jc w:val="left"/>
        <w:rPr>
          <w:rFonts w:ascii="宋体"/>
          <w:b/>
          <w:kern w:val="0"/>
          <w:sz w:val="28"/>
          <w:szCs w:val="24"/>
        </w:rPr>
      </w:pPr>
      <w:r>
        <w:rPr>
          <w:rFonts w:hint="eastAsia" w:ascii="宋体" w:hAnsi="宋体"/>
          <w:b/>
          <w:kern w:val="0"/>
          <w:sz w:val="28"/>
          <w:szCs w:val="24"/>
        </w:rPr>
        <w:t>（三）财政拨款支出决算具体情况</w:t>
      </w:r>
    </w:p>
    <w:p>
      <w:pPr>
        <w:widowControl/>
        <w:spacing w:line="600" w:lineRule="exact"/>
        <w:ind w:firstLine="560" w:firstLineChars="200"/>
        <w:jc w:val="left"/>
        <w:rPr>
          <w:szCs w:val="24"/>
        </w:rPr>
      </w:pPr>
      <w:r>
        <w:rPr>
          <w:rFonts w:ascii="宋体" w:hAnsi="宋体"/>
          <w:kern w:val="0"/>
          <w:sz w:val="28"/>
          <w:szCs w:val="24"/>
        </w:rPr>
        <w:t>2021</w:t>
      </w:r>
      <w:r>
        <w:rPr>
          <w:rFonts w:hint="eastAsia" w:ascii="宋体" w:hAnsi="宋体"/>
          <w:kern w:val="0"/>
          <w:sz w:val="28"/>
          <w:szCs w:val="24"/>
        </w:rPr>
        <w:t>年度财政拨款支出年初预算数为</w:t>
      </w:r>
      <w:r>
        <w:rPr>
          <w:rFonts w:ascii="宋体" w:hAnsi="宋体"/>
          <w:kern w:val="0"/>
          <w:sz w:val="28"/>
          <w:szCs w:val="24"/>
        </w:rPr>
        <w:t>418.20</w:t>
      </w:r>
      <w:r>
        <w:rPr>
          <w:rFonts w:hint="eastAsia" w:ascii="宋体" w:hAnsi="宋体"/>
          <w:kern w:val="0"/>
          <w:sz w:val="28"/>
          <w:szCs w:val="24"/>
        </w:rPr>
        <w:t>万元</w:t>
      </w:r>
      <w:r>
        <w:rPr>
          <w:rFonts w:ascii="宋体"/>
          <w:kern w:val="0"/>
          <w:sz w:val="28"/>
          <w:szCs w:val="24"/>
        </w:rPr>
        <w:t>,</w:t>
      </w:r>
      <w:r>
        <w:rPr>
          <w:rFonts w:hint="eastAsia" w:ascii="宋体" w:hAnsi="宋体"/>
          <w:kern w:val="0"/>
          <w:sz w:val="28"/>
          <w:szCs w:val="24"/>
        </w:rPr>
        <w:t>支出决算数为</w:t>
      </w:r>
      <w:r>
        <w:rPr>
          <w:rFonts w:ascii="宋体" w:hAnsi="宋体"/>
          <w:kern w:val="0"/>
          <w:sz w:val="28"/>
          <w:szCs w:val="24"/>
        </w:rPr>
        <w:t>425.61</w:t>
      </w:r>
      <w:r>
        <w:rPr>
          <w:rFonts w:hint="eastAsia" w:ascii="宋体" w:hAnsi="宋体"/>
          <w:kern w:val="0"/>
          <w:sz w:val="28"/>
          <w:szCs w:val="24"/>
        </w:rPr>
        <w:t>万元，完成年初预算的</w:t>
      </w:r>
      <w:r>
        <w:rPr>
          <w:rFonts w:ascii="宋体" w:hAnsi="宋体"/>
          <w:kern w:val="0"/>
          <w:sz w:val="28"/>
          <w:szCs w:val="24"/>
        </w:rPr>
        <w:t>102%</w:t>
      </w:r>
      <w:r>
        <w:rPr>
          <w:rFonts w:hint="eastAsia" w:ascii="宋体" w:hAnsi="宋体"/>
          <w:kern w:val="0"/>
          <w:sz w:val="28"/>
          <w:szCs w:val="24"/>
        </w:rPr>
        <w:t>。其中：</w:t>
      </w:r>
    </w:p>
    <w:p>
      <w:pPr>
        <w:widowControl/>
        <w:spacing w:line="600" w:lineRule="exact"/>
        <w:ind w:firstLine="560" w:firstLineChars="200"/>
        <w:jc w:val="left"/>
        <w:rPr>
          <w:kern w:val="0"/>
          <w:sz w:val="28"/>
          <w:szCs w:val="24"/>
        </w:rPr>
      </w:pPr>
      <w:r>
        <w:rPr>
          <w:rFonts w:ascii="宋体" w:hAnsi="宋体"/>
          <w:kern w:val="0"/>
          <w:sz w:val="28"/>
          <w:szCs w:val="24"/>
        </w:rPr>
        <w:t>1</w:t>
      </w:r>
      <w:r>
        <w:rPr>
          <w:rFonts w:hint="eastAsia" w:ascii="宋体" w:hAnsi="宋体"/>
          <w:kern w:val="0"/>
          <w:sz w:val="28"/>
          <w:szCs w:val="24"/>
        </w:rPr>
        <w:t>、农林水支出</w:t>
      </w:r>
      <w:r>
        <w:rPr>
          <w:rFonts w:hint="eastAsia" w:ascii="宋体"/>
          <w:kern w:val="0"/>
          <w:sz w:val="28"/>
          <w:szCs w:val="24"/>
        </w:rPr>
        <w:t>（类）</w:t>
      </w:r>
      <w:r>
        <w:rPr>
          <w:rFonts w:hint="eastAsia" w:ascii="宋体" w:hAnsi="宋体"/>
          <w:kern w:val="0"/>
          <w:sz w:val="28"/>
          <w:szCs w:val="24"/>
        </w:rPr>
        <w:t>水利</w:t>
      </w:r>
      <w:r>
        <w:rPr>
          <w:rFonts w:hint="eastAsia" w:ascii="宋体"/>
          <w:kern w:val="0"/>
          <w:sz w:val="28"/>
          <w:szCs w:val="24"/>
        </w:rPr>
        <w:t>（款）</w:t>
      </w:r>
      <w:r>
        <w:rPr>
          <w:rFonts w:hint="eastAsia" w:ascii="宋体" w:hAnsi="宋体"/>
          <w:kern w:val="0"/>
          <w:sz w:val="28"/>
          <w:szCs w:val="24"/>
        </w:rPr>
        <w:t>行政运行（项）</w:t>
      </w:r>
    </w:p>
    <w:p>
      <w:pPr>
        <w:widowControl/>
        <w:spacing w:line="600" w:lineRule="exact"/>
        <w:ind w:firstLine="560" w:firstLineChars="200"/>
        <w:jc w:val="left"/>
        <w:rPr>
          <w:rFonts w:ascii="宋体"/>
          <w:kern w:val="0"/>
          <w:sz w:val="28"/>
          <w:szCs w:val="24"/>
        </w:rPr>
      </w:pPr>
      <w:r>
        <w:rPr>
          <w:rFonts w:hint="eastAsia" w:ascii="宋体" w:hAnsi="宋体"/>
          <w:kern w:val="0"/>
          <w:sz w:val="28"/>
          <w:szCs w:val="24"/>
        </w:rPr>
        <w:t>年初预算为</w:t>
      </w:r>
      <w:r>
        <w:rPr>
          <w:rFonts w:ascii="宋体" w:hAnsi="宋体"/>
          <w:kern w:val="0"/>
          <w:sz w:val="28"/>
          <w:szCs w:val="24"/>
        </w:rPr>
        <w:t>8.72</w:t>
      </w:r>
      <w:r>
        <w:rPr>
          <w:rFonts w:hint="eastAsia" w:ascii="宋体" w:hAnsi="宋体"/>
          <w:kern w:val="0"/>
          <w:sz w:val="28"/>
          <w:szCs w:val="24"/>
        </w:rPr>
        <w:t>万元，支出决算为</w:t>
      </w:r>
      <w:r>
        <w:rPr>
          <w:rFonts w:ascii="宋体" w:hAnsi="宋体"/>
          <w:kern w:val="0"/>
          <w:sz w:val="28"/>
          <w:szCs w:val="24"/>
        </w:rPr>
        <w:t>8.72</w:t>
      </w:r>
      <w:r>
        <w:rPr>
          <w:rFonts w:hint="eastAsia" w:ascii="宋体" w:hAnsi="宋体"/>
          <w:kern w:val="0"/>
          <w:sz w:val="28"/>
          <w:szCs w:val="24"/>
        </w:rPr>
        <w:t>万元，完成年初预算的</w:t>
      </w:r>
      <w:r>
        <w:rPr>
          <w:rFonts w:ascii="宋体" w:hAnsi="宋体"/>
          <w:kern w:val="0"/>
          <w:sz w:val="28"/>
          <w:szCs w:val="24"/>
        </w:rPr>
        <w:t>100%,</w:t>
      </w:r>
      <w:r>
        <w:rPr>
          <w:rFonts w:hint="eastAsia" w:ascii="宋体" w:hAnsi="宋体"/>
          <w:kern w:val="0"/>
          <w:sz w:val="28"/>
          <w:szCs w:val="24"/>
        </w:rPr>
        <w:t>决算数与预算数一致主要是本单位严格按预算执行决算。</w:t>
      </w:r>
    </w:p>
    <w:p>
      <w:pPr>
        <w:widowControl/>
        <w:spacing w:line="600" w:lineRule="exact"/>
        <w:ind w:firstLine="560" w:firstLineChars="200"/>
        <w:jc w:val="left"/>
        <w:rPr>
          <w:kern w:val="0"/>
          <w:sz w:val="28"/>
          <w:szCs w:val="24"/>
        </w:rPr>
      </w:pPr>
      <w:r>
        <w:rPr>
          <w:rFonts w:ascii="宋体" w:hAnsi="宋体"/>
          <w:kern w:val="0"/>
          <w:sz w:val="28"/>
          <w:szCs w:val="24"/>
        </w:rPr>
        <w:t>2</w:t>
      </w:r>
      <w:r>
        <w:rPr>
          <w:rFonts w:hint="eastAsia" w:ascii="宋体" w:hAnsi="宋体"/>
          <w:kern w:val="0"/>
          <w:sz w:val="28"/>
          <w:szCs w:val="24"/>
        </w:rPr>
        <w:t>、农林水支出</w:t>
      </w:r>
      <w:r>
        <w:rPr>
          <w:rFonts w:hint="eastAsia" w:ascii="宋体"/>
          <w:kern w:val="0"/>
          <w:sz w:val="28"/>
          <w:szCs w:val="24"/>
        </w:rPr>
        <w:t>（类）</w:t>
      </w:r>
      <w:r>
        <w:rPr>
          <w:rFonts w:hint="eastAsia" w:ascii="宋体" w:hAnsi="宋体"/>
          <w:kern w:val="0"/>
          <w:sz w:val="28"/>
          <w:szCs w:val="24"/>
        </w:rPr>
        <w:t>水利</w:t>
      </w:r>
      <w:r>
        <w:rPr>
          <w:rFonts w:hint="eastAsia" w:ascii="宋体"/>
          <w:kern w:val="0"/>
          <w:sz w:val="28"/>
          <w:szCs w:val="24"/>
        </w:rPr>
        <w:t>（款）</w:t>
      </w:r>
      <w:r>
        <w:rPr>
          <w:rFonts w:hint="eastAsia" w:ascii="宋体" w:hAnsi="宋体"/>
          <w:kern w:val="0"/>
          <w:sz w:val="28"/>
          <w:szCs w:val="24"/>
        </w:rPr>
        <w:t>水土保持（项）</w:t>
      </w:r>
    </w:p>
    <w:p>
      <w:pPr>
        <w:widowControl/>
        <w:spacing w:line="600" w:lineRule="exact"/>
        <w:ind w:firstLine="560" w:firstLineChars="200"/>
        <w:jc w:val="left"/>
        <w:rPr>
          <w:rFonts w:ascii="宋体"/>
          <w:kern w:val="0"/>
          <w:sz w:val="28"/>
          <w:szCs w:val="24"/>
        </w:rPr>
      </w:pPr>
      <w:r>
        <w:rPr>
          <w:rFonts w:hint="eastAsia" w:ascii="宋体" w:hAnsi="宋体"/>
          <w:kern w:val="0"/>
          <w:sz w:val="28"/>
          <w:szCs w:val="24"/>
        </w:rPr>
        <w:t>年初预算为</w:t>
      </w:r>
      <w:r>
        <w:rPr>
          <w:rFonts w:ascii="宋体" w:hAnsi="宋体"/>
          <w:kern w:val="0"/>
          <w:sz w:val="28"/>
          <w:szCs w:val="24"/>
        </w:rPr>
        <w:t>1.65</w:t>
      </w:r>
      <w:r>
        <w:rPr>
          <w:rFonts w:hint="eastAsia" w:ascii="宋体" w:hAnsi="宋体"/>
          <w:kern w:val="0"/>
          <w:sz w:val="28"/>
          <w:szCs w:val="24"/>
        </w:rPr>
        <w:t>万元，支出决算为</w:t>
      </w:r>
      <w:r>
        <w:rPr>
          <w:rFonts w:ascii="宋体" w:hAnsi="宋体"/>
          <w:kern w:val="0"/>
          <w:sz w:val="28"/>
          <w:szCs w:val="24"/>
        </w:rPr>
        <w:t>1.65</w:t>
      </w:r>
      <w:r>
        <w:rPr>
          <w:rFonts w:hint="eastAsia" w:ascii="宋体" w:hAnsi="宋体"/>
          <w:kern w:val="0"/>
          <w:sz w:val="28"/>
          <w:szCs w:val="24"/>
        </w:rPr>
        <w:t>万元，完成年初预算的</w:t>
      </w:r>
      <w:r>
        <w:rPr>
          <w:rFonts w:ascii="宋体" w:hAnsi="宋体"/>
          <w:kern w:val="0"/>
          <w:sz w:val="28"/>
          <w:szCs w:val="24"/>
        </w:rPr>
        <w:t>100%,</w:t>
      </w:r>
      <w:r>
        <w:rPr>
          <w:rFonts w:hint="eastAsia" w:ascii="宋体" w:hAnsi="宋体"/>
          <w:kern w:val="0"/>
          <w:sz w:val="28"/>
          <w:szCs w:val="24"/>
        </w:rPr>
        <w:t>决算数与预算数一致主要是本单位严格按预算执行决算。</w:t>
      </w:r>
    </w:p>
    <w:p>
      <w:pPr>
        <w:widowControl/>
        <w:spacing w:line="600" w:lineRule="exact"/>
        <w:ind w:firstLine="560" w:firstLineChars="200"/>
        <w:jc w:val="left"/>
        <w:rPr>
          <w:kern w:val="0"/>
          <w:sz w:val="28"/>
          <w:szCs w:val="24"/>
        </w:rPr>
      </w:pPr>
      <w:r>
        <w:rPr>
          <w:rFonts w:ascii="宋体" w:hAnsi="宋体"/>
          <w:kern w:val="0"/>
          <w:sz w:val="28"/>
          <w:szCs w:val="24"/>
        </w:rPr>
        <w:t>3</w:t>
      </w:r>
      <w:r>
        <w:rPr>
          <w:rFonts w:hint="eastAsia" w:ascii="宋体" w:hAnsi="宋体"/>
          <w:kern w:val="0"/>
          <w:sz w:val="28"/>
          <w:szCs w:val="24"/>
        </w:rPr>
        <w:t>、农林水支出</w:t>
      </w:r>
      <w:r>
        <w:rPr>
          <w:rFonts w:hint="eastAsia" w:ascii="宋体"/>
          <w:kern w:val="0"/>
          <w:sz w:val="28"/>
          <w:szCs w:val="24"/>
        </w:rPr>
        <w:t>（类）</w:t>
      </w:r>
      <w:r>
        <w:rPr>
          <w:rFonts w:hint="eastAsia" w:ascii="宋体" w:hAnsi="宋体"/>
          <w:kern w:val="0"/>
          <w:sz w:val="28"/>
          <w:szCs w:val="24"/>
        </w:rPr>
        <w:t>水利</w:t>
      </w:r>
      <w:r>
        <w:rPr>
          <w:rFonts w:hint="eastAsia" w:ascii="宋体"/>
          <w:kern w:val="0"/>
          <w:sz w:val="28"/>
          <w:szCs w:val="24"/>
        </w:rPr>
        <w:t>（款）</w:t>
      </w:r>
      <w:r>
        <w:rPr>
          <w:rFonts w:hint="eastAsia" w:ascii="宋体" w:hAnsi="宋体"/>
          <w:kern w:val="0"/>
          <w:sz w:val="28"/>
          <w:szCs w:val="24"/>
        </w:rPr>
        <w:t>水资源节约管理与保护（项）</w:t>
      </w:r>
    </w:p>
    <w:p>
      <w:pPr>
        <w:widowControl/>
        <w:spacing w:line="600" w:lineRule="exact"/>
        <w:ind w:firstLine="560" w:firstLineChars="200"/>
        <w:jc w:val="left"/>
        <w:rPr>
          <w:rFonts w:ascii="宋体"/>
          <w:kern w:val="0"/>
          <w:sz w:val="28"/>
          <w:szCs w:val="24"/>
        </w:rPr>
      </w:pPr>
      <w:r>
        <w:rPr>
          <w:rFonts w:hint="eastAsia" w:ascii="宋体" w:hAnsi="宋体"/>
          <w:kern w:val="0"/>
          <w:sz w:val="28"/>
          <w:szCs w:val="24"/>
        </w:rPr>
        <w:t>年初预算为</w:t>
      </w:r>
      <w:r>
        <w:rPr>
          <w:rFonts w:ascii="宋体" w:hAnsi="宋体"/>
          <w:kern w:val="0"/>
          <w:sz w:val="28"/>
          <w:szCs w:val="24"/>
        </w:rPr>
        <w:t>407.83</w:t>
      </w:r>
      <w:r>
        <w:rPr>
          <w:rFonts w:hint="eastAsia" w:ascii="宋体" w:hAnsi="宋体"/>
          <w:kern w:val="0"/>
          <w:sz w:val="28"/>
          <w:szCs w:val="24"/>
        </w:rPr>
        <w:t>万元，支出决算为</w:t>
      </w:r>
      <w:r>
        <w:rPr>
          <w:rFonts w:ascii="宋体" w:hAnsi="宋体"/>
          <w:kern w:val="0"/>
          <w:sz w:val="28"/>
          <w:szCs w:val="24"/>
        </w:rPr>
        <w:t>415.24</w:t>
      </w:r>
      <w:r>
        <w:rPr>
          <w:rFonts w:hint="eastAsia" w:ascii="宋体" w:hAnsi="宋体"/>
          <w:kern w:val="0"/>
          <w:sz w:val="28"/>
          <w:szCs w:val="24"/>
        </w:rPr>
        <w:t>万元，完成预算的</w:t>
      </w:r>
      <w:r>
        <w:rPr>
          <w:rFonts w:ascii="宋体" w:hAnsi="宋体"/>
          <w:kern w:val="0"/>
          <w:sz w:val="28"/>
          <w:szCs w:val="24"/>
        </w:rPr>
        <w:t>102%,</w:t>
      </w:r>
      <w:r>
        <w:rPr>
          <w:rFonts w:hint="eastAsia" w:ascii="宋体" w:hAnsi="宋体"/>
          <w:kern w:val="0"/>
          <w:sz w:val="28"/>
          <w:szCs w:val="24"/>
        </w:rPr>
        <w:t>决算数大于预算数的主要原因是：财政根据本单位业务活动开展需要追加了部分预算。</w:t>
      </w:r>
    </w:p>
    <w:p>
      <w:pPr>
        <w:widowControl/>
        <w:spacing w:line="600" w:lineRule="exact"/>
        <w:ind w:firstLine="562" w:firstLineChars="200"/>
        <w:jc w:val="left"/>
        <w:rPr>
          <w:rFonts w:ascii="宋体"/>
          <w:b/>
          <w:kern w:val="0"/>
          <w:sz w:val="28"/>
          <w:szCs w:val="24"/>
        </w:rPr>
      </w:pPr>
      <w:r>
        <w:rPr>
          <w:rFonts w:hint="eastAsia" w:ascii="宋体" w:hAnsi="宋体"/>
          <w:b/>
          <w:kern w:val="0"/>
          <w:sz w:val="28"/>
          <w:szCs w:val="24"/>
        </w:rPr>
        <w:t>六、一般公共预算财政拨款基本支出决算情况说明</w:t>
      </w:r>
    </w:p>
    <w:p>
      <w:pPr>
        <w:widowControl/>
        <w:spacing w:line="600" w:lineRule="exact"/>
        <w:ind w:firstLine="560" w:firstLineChars="200"/>
        <w:jc w:val="left"/>
        <w:rPr>
          <w:kern w:val="0"/>
          <w:sz w:val="28"/>
          <w:szCs w:val="24"/>
        </w:rPr>
      </w:pPr>
      <w:r>
        <w:rPr>
          <w:rFonts w:ascii="宋体" w:hAnsi="宋体"/>
          <w:kern w:val="0"/>
          <w:sz w:val="28"/>
          <w:szCs w:val="24"/>
        </w:rPr>
        <w:t>2021</w:t>
      </w:r>
      <w:r>
        <w:rPr>
          <w:rFonts w:hint="eastAsia" w:ascii="宋体" w:hAnsi="宋体"/>
          <w:kern w:val="0"/>
          <w:sz w:val="28"/>
          <w:szCs w:val="24"/>
        </w:rPr>
        <w:t>年度财政拨款基本支出</w:t>
      </w:r>
      <w:r>
        <w:rPr>
          <w:rFonts w:ascii="宋体" w:hAnsi="宋体"/>
          <w:kern w:val="0"/>
          <w:sz w:val="28"/>
          <w:szCs w:val="24"/>
        </w:rPr>
        <w:t>425.61</w:t>
      </w:r>
      <w:r>
        <w:rPr>
          <w:rFonts w:hint="eastAsia" w:ascii="宋体" w:hAnsi="宋体"/>
          <w:kern w:val="0"/>
          <w:sz w:val="28"/>
          <w:szCs w:val="24"/>
        </w:rPr>
        <w:t>万元，其中</w:t>
      </w:r>
      <w:r>
        <w:rPr>
          <w:rFonts w:ascii="宋体" w:hAnsi="宋体"/>
          <w:kern w:val="0"/>
          <w:sz w:val="28"/>
          <w:szCs w:val="24"/>
        </w:rPr>
        <w:t>:</w:t>
      </w:r>
      <w:r>
        <w:rPr>
          <w:rFonts w:hint="eastAsia" w:ascii="宋体" w:hAnsi="宋体"/>
          <w:kern w:val="0"/>
          <w:sz w:val="28"/>
          <w:szCs w:val="24"/>
        </w:rPr>
        <w:t>人员经费</w:t>
      </w:r>
      <w:r>
        <w:rPr>
          <w:rFonts w:ascii="宋体" w:hAnsi="宋体"/>
          <w:kern w:val="0"/>
          <w:sz w:val="28"/>
          <w:szCs w:val="24"/>
        </w:rPr>
        <w:t>354.04</w:t>
      </w:r>
      <w:r>
        <w:rPr>
          <w:rFonts w:hint="eastAsia" w:ascii="宋体" w:hAnsi="宋体"/>
          <w:kern w:val="0"/>
          <w:sz w:val="28"/>
          <w:szCs w:val="24"/>
        </w:rPr>
        <w:t>万元，占基本支出的</w:t>
      </w:r>
      <w:r>
        <w:rPr>
          <w:rFonts w:ascii="宋体" w:hAnsi="宋体"/>
          <w:kern w:val="0"/>
          <w:sz w:val="28"/>
          <w:szCs w:val="24"/>
        </w:rPr>
        <w:t>83.18%</w:t>
      </w:r>
      <w:r>
        <w:rPr>
          <w:rFonts w:hint="eastAsia" w:ascii="宋体" w:hAnsi="宋体"/>
          <w:kern w:val="0"/>
          <w:sz w:val="28"/>
          <w:szCs w:val="24"/>
        </w:rPr>
        <w:t>，主要包括基本工资、津贴补贴、奖金、绩效工资、机关事业单位基本养老保险缴费、职工基本医疗保险缴费、公务员医疗补助缴费、住房公积金、医疗费。其他工资福利支出、抚恤金、生活补助、医疗费补助、其他对个人和家庭的补助等；公用经费</w:t>
      </w:r>
      <w:r>
        <w:rPr>
          <w:rFonts w:ascii="宋体" w:hAnsi="宋体"/>
          <w:kern w:val="0"/>
          <w:sz w:val="28"/>
          <w:szCs w:val="24"/>
        </w:rPr>
        <w:t>71.57</w:t>
      </w:r>
      <w:r>
        <w:rPr>
          <w:rFonts w:hint="eastAsia" w:ascii="宋体" w:hAnsi="宋体"/>
          <w:kern w:val="0"/>
          <w:sz w:val="28"/>
          <w:szCs w:val="24"/>
        </w:rPr>
        <w:t>万元，占基本支出的</w:t>
      </w:r>
      <w:r>
        <w:rPr>
          <w:rFonts w:ascii="宋体" w:hAnsi="宋体"/>
          <w:kern w:val="0"/>
          <w:sz w:val="28"/>
          <w:szCs w:val="24"/>
        </w:rPr>
        <w:t>16.82%</w:t>
      </w:r>
      <w:r>
        <w:rPr>
          <w:rFonts w:hint="eastAsia" w:ascii="宋体" w:hAnsi="宋体"/>
          <w:kern w:val="0"/>
          <w:sz w:val="28"/>
          <w:szCs w:val="24"/>
        </w:rPr>
        <w:t>，主要包括办公费、印刷费、咨询费、手续费、水费、电费、邮电费、物业管理费、差旅费、维修（护）费、会议费、培训费、公务接待费、劳务费、委托业务费、工会经费、其他交通费用、其他商品和服务支出、办公设备购置等。</w:t>
      </w:r>
    </w:p>
    <w:p>
      <w:pPr>
        <w:widowControl/>
        <w:spacing w:line="600" w:lineRule="exact"/>
        <w:ind w:firstLine="562" w:firstLineChars="200"/>
        <w:jc w:val="left"/>
        <w:rPr>
          <w:rFonts w:ascii="宋体"/>
          <w:b/>
          <w:kern w:val="0"/>
          <w:sz w:val="28"/>
          <w:szCs w:val="24"/>
        </w:rPr>
      </w:pPr>
      <w:r>
        <w:rPr>
          <w:rFonts w:hint="eastAsia" w:ascii="宋体" w:hAnsi="宋体"/>
          <w:b/>
          <w:kern w:val="0"/>
          <w:sz w:val="28"/>
          <w:szCs w:val="24"/>
        </w:rPr>
        <w:t>七、一般公共预算财政拨款“三公”经费支出决算情况说明</w:t>
      </w:r>
    </w:p>
    <w:p>
      <w:pPr>
        <w:widowControl/>
        <w:spacing w:line="600" w:lineRule="exact"/>
        <w:ind w:firstLine="562" w:firstLineChars="200"/>
        <w:jc w:val="left"/>
        <w:rPr>
          <w:rFonts w:ascii="宋体" w:hAnsi="宋体"/>
          <w:b/>
          <w:kern w:val="0"/>
          <w:sz w:val="28"/>
          <w:szCs w:val="24"/>
        </w:rPr>
      </w:pPr>
      <w:r>
        <w:rPr>
          <w:rFonts w:hint="eastAsia" w:ascii="宋体" w:hAnsi="宋体"/>
          <w:b/>
          <w:kern w:val="0"/>
          <w:sz w:val="28"/>
          <w:szCs w:val="24"/>
        </w:rPr>
        <w:t>（一）“三公”经费财政拨款支出决算总体情况说明。</w:t>
      </w:r>
    </w:p>
    <w:p>
      <w:pPr>
        <w:widowControl/>
        <w:spacing w:line="600" w:lineRule="exact"/>
        <w:ind w:firstLine="560" w:firstLineChars="200"/>
        <w:jc w:val="left"/>
        <w:rPr>
          <w:rFonts w:ascii="宋体" w:hAnsi="宋体"/>
          <w:sz w:val="28"/>
          <w:szCs w:val="24"/>
        </w:rPr>
      </w:pPr>
      <w:r>
        <w:rPr>
          <w:rFonts w:ascii="宋体" w:hAnsi="宋体"/>
          <w:sz w:val="28"/>
          <w:szCs w:val="24"/>
        </w:rPr>
        <w:t>2021</w:t>
      </w:r>
      <w:r>
        <w:rPr>
          <w:rFonts w:hint="eastAsia" w:ascii="宋体" w:hAnsi="宋体"/>
          <w:sz w:val="28"/>
          <w:szCs w:val="24"/>
        </w:rPr>
        <w:t>年度“三公”经费财政拨款支出预算为</w:t>
      </w:r>
      <w:r>
        <w:rPr>
          <w:rFonts w:ascii="宋体" w:hAnsi="宋体"/>
          <w:sz w:val="28"/>
          <w:szCs w:val="24"/>
        </w:rPr>
        <w:t>3.6</w:t>
      </w:r>
      <w:r>
        <w:rPr>
          <w:rFonts w:hint="eastAsia" w:ascii="宋体" w:hAnsi="宋体"/>
          <w:sz w:val="28"/>
          <w:szCs w:val="24"/>
        </w:rPr>
        <w:t>0万元，支出决算为</w:t>
      </w:r>
      <w:r>
        <w:rPr>
          <w:rFonts w:ascii="宋体" w:hAnsi="宋体"/>
          <w:sz w:val="28"/>
          <w:szCs w:val="24"/>
        </w:rPr>
        <w:t>3.58</w:t>
      </w:r>
      <w:r>
        <w:rPr>
          <w:rFonts w:hint="eastAsia" w:ascii="宋体" w:hAnsi="宋体"/>
          <w:sz w:val="28"/>
          <w:szCs w:val="24"/>
        </w:rPr>
        <w:t>万元，完成预算的</w:t>
      </w:r>
      <w:r>
        <w:rPr>
          <w:rFonts w:ascii="宋体" w:hAnsi="宋体"/>
          <w:sz w:val="28"/>
          <w:szCs w:val="24"/>
        </w:rPr>
        <w:t>99.44%</w:t>
      </w:r>
      <w:r>
        <w:rPr>
          <w:rFonts w:hint="eastAsia" w:ascii="宋体" w:hAnsi="宋体"/>
          <w:sz w:val="28"/>
          <w:szCs w:val="24"/>
        </w:rPr>
        <w:t>，其中：</w:t>
      </w:r>
    </w:p>
    <w:p>
      <w:pPr>
        <w:widowControl/>
        <w:spacing w:line="600" w:lineRule="exact"/>
        <w:ind w:firstLine="560" w:firstLineChars="200"/>
        <w:jc w:val="left"/>
        <w:rPr>
          <w:rFonts w:ascii="宋体" w:hAnsi="宋体"/>
          <w:sz w:val="32"/>
          <w:szCs w:val="24"/>
        </w:rPr>
      </w:pPr>
      <w:r>
        <w:rPr>
          <w:rFonts w:hint="eastAsia" w:ascii="宋体" w:hAnsi="宋体"/>
          <w:sz w:val="28"/>
          <w:szCs w:val="24"/>
        </w:rPr>
        <w:t>因公出国（境）费支出预算为</w:t>
      </w:r>
      <w:r>
        <w:rPr>
          <w:rFonts w:ascii="宋体" w:hAnsi="宋体"/>
          <w:sz w:val="28"/>
          <w:szCs w:val="24"/>
        </w:rPr>
        <w:t>0</w:t>
      </w:r>
      <w:r>
        <w:rPr>
          <w:rFonts w:hint="eastAsia" w:ascii="宋体" w:hAnsi="宋体"/>
          <w:sz w:val="28"/>
          <w:szCs w:val="24"/>
        </w:rPr>
        <w:t>万元，支出决算为</w:t>
      </w:r>
      <w:r>
        <w:rPr>
          <w:rFonts w:ascii="宋体" w:hAnsi="宋体"/>
          <w:sz w:val="28"/>
          <w:szCs w:val="24"/>
        </w:rPr>
        <w:t>0</w:t>
      </w:r>
      <w:r>
        <w:rPr>
          <w:rFonts w:hint="eastAsia" w:ascii="宋体" w:hAnsi="宋体"/>
          <w:sz w:val="28"/>
          <w:szCs w:val="24"/>
        </w:rPr>
        <w:t>万元，</w:t>
      </w:r>
      <w:r>
        <w:rPr>
          <w:rFonts w:hint="eastAsia" w:ascii="宋体" w:hAnsi="宋体"/>
          <w:sz w:val="32"/>
          <w:szCs w:val="24"/>
        </w:rPr>
        <w:t>决算数等于预算数的主要是疫情影响，本单位本年度无出国出境安排。</w:t>
      </w:r>
    </w:p>
    <w:p>
      <w:pPr>
        <w:widowControl/>
        <w:spacing w:line="600" w:lineRule="exact"/>
        <w:ind w:firstLine="560" w:firstLineChars="200"/>
        <w:jc w:val="left"/>
        <w:rPr>
          <w:rFonts w:ascii="宋体" w:hAnsi="宋体"/>
          <w:sz w:val="28"/>
          <w:szCs w:val="24"/>
        </w:rPr>
      </w:pPr>
      <w:r>
        <w:rPr>
          <w:rFonts w:hint="eastAsia" w:ascii="宋体" w:hAnsi="宋体"/>
          <w:sz w:val="28"/>
          <w:szCs w:val="24"/>
        </w:rPr>
        <w:t>公务接待费支出预算为</w:t>
      </w:r>
      <w:r>
        <w:rPr>
          <w:rFonts w:ascii="宋体" w:hAnsi="宋体"/>
          <w:sz w:val="28"/>
          <w:szCs w:val="24"/>
        </w:rPr>
        <w:t>3.6</w:t>
      </w:r>
      <w:r>
        <w:rPr>
          <w:rFonts w:hint="eastAsia" w:ascii="宋体" w:hAnsi="宋体"/>
          <w:sz w:val="28"/>
          <w:szCs w:val="24"/>
        </w:rPr>
        <w:t>0万元，支出决算为</w:t>
      </w:r>
      <w:r>
        <w:rPr>
          <w:rFonts w:ascii="宋体" w:hAnsi="宋体"/>
          <w:sz w:val="28"/>
          <w:szCs w:val="24"/>
        </w:rPr>
        <w:t>3.58</w:t>
      </w:r>
      <w:r>
        <w:rPr>
          <w:rFonts w:hint="eastAsia" w:ascii="宋体" w:hAnsi="宋体"/>
          <w:sz w:val="28"/>
          <w:szCs w:val="24"/>
        </w:rPr>
        <w:t>万元，完成预算的</w:t>
      </w:r>
      <w:r>
        <w:rPr>
          <w:rFonts w:ascii="宋体" w:hAnsi="宋体"/>
          <w:sz w:val="28"/>
          <w:szCs w:val="24"/>
        </w:rPr>
        <w:t>99.44%</w:t>
      </w:r>
      <w:r>
        <w:rPr>
          <w:rFonts w:hint="eastAsia" w:ascii="宋体" w:hAnsi="宋体"/>
          <w:sz w:val="28"/>
          <w:szCs w:val="24"/>
        </w:rPr>
        <w:t>，决算数小于预算数的主要原因是积极贯彻落实中央关于厉行节约的要求。与上年相比减少</w:t>
      </w:r>
      <w:r>
        <w:rPr>
          <w:rFonts w:ascii="宋体" w:hAnsi="宋体"/>
          <w:sz w:val="28"/>
          <w:szCs w:val="24"/>
        </w:rPr>
        <w:t>0.01</w:t>
      </w:r>
      <w:r>
        <w:rPr>
          <w:rFonts w:hint="eastAsia" w:ascii="宋体" w:hAnsi="宋体"/>
          <w:sz w:val="28"/>
          <w:szCs w:val="24"/>
        </w:rPr>
        <w:t>万元，减少</w:t>
      </w:r>
      <w:r>
        <w:rPr>
          <w:rFonts w:ascii="宋体" w:hAnsi="宋体"/>
          <w:sz w:val="28"/>
          <w:szCs w:val="24"/>
        </w:rPr>
        <w:t>0.28%,</w:t>
      </w:r>
      <w:r>
        <w:rPr>
          <w:rFonts w:hint="eastAsia" w:ascii="宋体" w:hAnsi="宋体"/>
          <w:sz w:val="28"/>
          <w:szCs w:val="24"/>
        </w:rPr>
        <w:t>减少主要原因是积极贯彻落实中央关于厉行节约的要求。</w:t>
      </w:r>
    </w:p>
    <w:p>
      <w:pPr>
        <w:widowControl/>
        <w:spacing w:line="600" w:lineRule="exact"/>
        <w:ind w:firstLine="560" w:firstLineChars="200"/>
        <w:jc w:val="left"/>
        <w:rPr>
          <w:rFonts w:ascii="宋体" w:hAnsi="宋体"/>
          <w:sz w:val="28"/>
          <w:szCs w:val="24"/>
        </w:rPr>
      </w:pPr>
      <w:r>
        <w:rPr>
          <w:rFonts w:hint="eastAsia" w:ascii="宋体" w:hAnsi="宋体"/>
          <w:sz w:val="28"/>
          <w:szCs w:val="24"/>
        </w:rPr>
        <w:t>公务用车购置费及运行维护费支出预算为</w:t>
      </w:r>
      <w:r>
        <w:rPr>
          <w:rFonts w:ascii="宋体" w:hAnsi="宋体"/>
          <w:sz w:val="28"/>
          <w:szCs w:val="24"/>
        </w:rPr>
        <w:t>0</w:t>
      </w:r>
      <w:r>
        <w:rPr>
          <w:rFonts w:hint="eastAsia" w:ascii="宋体" w:hAnsi="宋体"/>
          <w:sz w:val="28"/>
          <w:szCs w:val="24"/>
        </w:rPr>
        <w:t>万元，支出决算为</w:t>
      </w:r>
      <w:r>
        <w:rPr>
          <w:rFonts w:ascii="宋体" w:hAnsi="宋体"/>
          <w:sz w:val="28"/>
          <w:szCs w:val="24"/>
        </w:rPr>
        <w:t>0</w:t>
      </w:r>
      <w:r>
        <w:rPr>
          <w:rFonts w:hint="eastAsia" w:ascii="宋体" w:hAnsi="宋体"/>
          <w:sz w:val="28"/>
          <w:szCs w:val="24"/>
        </w:rPr>
        <w:t>万元。决算数等于预算数的主要原因是本单位未配置公务用车。</w:t>
      </w:r>
    </w:p>
    <w:p>
      <w:pPr>
        <w:widowControl/>
        <w:spacing w:line="600" w:lineRule="exact"/>
        <w:ind w:firstLine="562" w:firstLineChars="200"/>
        <w:jc w:val="left"/>
        <w:rPr>
          <w:rFonts w:ascii="宋体" w:hAnsi="宋体"/>
          <w:b/>
          <w:sz w:val="28"/>
          <w:szCs w:val="24"/>
        </w:rPr>
      </w:pPr>
      <w:r>
        <w:rPr>
          <w:rFonts w:hint="eastAsia" w:ascii="宋体" w:hAnsi="宋体"/>
          <w:b/>
          <w:sz w:val="28"/>
          <w:szCs w:val="24"/>
        </w:rPr>
        <w:t>（二）“三公”经费财政拨款支出决算具体情况说明</w:t>
      </w:r>
    </w:p>
    <w:p>
      <w:pPr>
        <w:widowControl/>
        <w:spacing w:line="600" w:lineRule="exact"/>
        <w:ind w:left="420" w:leftChars="200" w:firstLine="560" w:firstLineChars="200"/>
        <w:jc w:val="left"/>
        <w:rPr>
          <w:rFonts w:ascii="宋体" w:hAnsi="宋体"/>
          <w:sz w:val="28"/>
          <w:szCs w:val="24"/>
        </w:rPr>
      </w:pPr>
      <w:r>
        <w:rPr>
          <w:rFonts w:ascii="宋体" w:hAnsi="宋体"/>
          <w:sz w:val="28"/>
          <w:szCs w:val="24"/>
        </w:rPr>
        <w:t>2021</w:t>
      </w:r>
      <w:r>
        <w:rPr>
          <w:rFonts w:hint="eastAsia" w:ascii="宋体" w:hAnsi="宋体"/>
          <w:sz w:val="28"/>
          <w:szCs w:val="24"/>
        </w:rPr>
        <w:t>年度“三公”经费财政拨款支出决算中，公务接待费支出决算</w:t>
      </w:r>
      <w:r>
        <w:rPr>
          <w:rFonts w:ascii="宋体" w:hAnsi="宋体"/>
          <w:sz w:val="28"/>
          <w:szCs w:val="24"/>
        </w:rPr>
        <w:t>3.58</w:t>
      </w:r>
      <w:r>
        <w:rPr>
          <w:rFonts w:hint="eastAsia" w:ascii="宋体" w:hAnsi="宋体"/>
          <w:sz w:val="28"/>
          <w:szCs w:val="24"/>
        </w:rPr>
        <w:t>万元，占</w:t>
      </w:r>
      <w:r>
        <w:rPr>
          <w:rFonts w:ascii="宋体" w:hAnsi="宋体"/>
          <w:sz w:val="28"/>
          <w:szCs w:val="24"/>
        </w:rPr>
        <w:t>100%,</w:t>
      </w:r>
      <w:r>
        <w:rPr>
          <w:rFonts w:hint="eastAsia" w:ascii="宋体" w:hAnsi="宋体"/>
          <w:sz w:val="28"/>
          <w:szCs w:val="24"/>
        </w:rPr>
        <w:t>因公出国（境）费支出决算</w:t>
      </w:r>
      <w:r>
        <w:rPr>
          <w:rFonts w:ascii="宋体" w:hAnsi="宋体"/>
          <w:sz w:val="28"/>
          <w:szCs w:val="24"/>
        </w:rPr>
        <w:t>0</w:t>
      </w:r>
      <w:r>
        <w:rPr>
          <w:rFonts w:hint="eastAsia" w:ascii="宋体" w:hAnsi="宋体"/>
          <w:sz w:val="28"/>
          <w:szCs w:val="24"/>
        </w:rPr>
        <w:t>万元，占</w:t>
      </w:r>
      <w:r>
        <w:rPr>
          <w:rFonts w:ascii="宋体" w:hAnsi="宋体"/>
          <w:sz w:val="28"/>
          <w:szCs w:val="24"/>
        </w:rPr>
        <w:t>0%,</w:t>
      </w:r>
      <w:r>
        <w:rPr>
          <w:rFonts w:hint="eastAsia" w:ascii="宋体" w:hAnsi="宋体"/>
          <w:sz w:val="28"/>
          <w:szCs w:val="24"/>
        </w:rPr>
        <w:t>公务用车购置费及运行维护费支出决算</w:t>
      </w:r>
      <w:r>
        <w:rPr>
          <w:rFonts w:ascii="宋体" w:hAnsi="宋体"/>
          <w:sz w:val="28"/>
          <w:szCs w:val="24"/>
        </w:rPr>
        <w:t>0</w:t>
      </w:r>
      <w:r>
        <w:rPr>
          <w:rFonts w:hint="eastAsia" w:ascii="宋体" w:hAnsi="宋体"/>
          <w:sz w:val="28"/>
          <w:szCs w:val="24"/>
        </w:rPr>
        <w:t>万元，占</w:t>
      </w:r>
      <w:r>
        <w:rPr>
          <w:rFonts w:ascii="宋体" w:hAnsi="宋体"/>
          <w:sz w:val="28"/>
          <w:szCs w:val="24"/>
        </w:rPr>
        <w:t>0%</w:t>
      </w:r>
      <w:r>
        <w:rPr>
          <w:rFonts w:hint="eastAsia" w:ascii="宋体" w:hAnsi="宋体"/>
          <w:sz w:val="28"/>
          <w:szCs w:val="24"/>
        </w:rPr>
        <w:t>。其中：</w:t>
      </w:r>
    </w:p>
    <w:p>
      <w:pPr>
        <w:widowControl/>
        <w:numPr>
          <w:ilvl w:val="0"/>
          <w:numId w:val="2"/>
        </w:numPr>
        <w:spacing w:line="600" w:lineRule="exact"/>
        <w:ind w:left="420" w:leftChars="200" w:firstLine="560" w:firstLineChars="200"/>
        <w:jc w:val="left"/>
        <w:rPr>
          <w:rFonts w:ascii="宋体" w:hAnsi="宋体"/>
          <w:sz w:val="28"/>
          <w:szCs w:val="24"/>
        </w:rPr>
      </w:pPr>
      <w:r>
        <w:rPr>
          <w:rFonts w:hint="eastAsia" w:ascii="宋体" w:hAnsi="宋体"/>
          <w:sz w:val="28"/>
          <w:szCs w:val="24"/>
        </w:rPr>
        <w:t>因公出国（境）费支出决算为</w:t>
      </w:r>
      <w:r>
        <w:rPr>
          <w:rFonts w:ascii="宋体" w:hAnsi="宋体"/>
          <w:sz w:val="28"/>
          <w:szCs w:val="24"/>
        </w:rPr>
        <w:t>0</w:t>
      </w:r>
      <w:r>
        <w:rPr>
          <w:rFonts w:hint="eastAsia" w:ascii="宋体" w:hAnsi="宋体"/>
          <w:sz w:val="28"/>
          <w:szCs w:val="24"/>
        </w:rPr>
        <w:t>万元，全年安排因公出国（境）团组</w:t>
      </w:r>
      <w:r>
        <w:rPr>
          <w:rFonts w:ascii="宋体" w:hAnsi="宋体"/>
          <w:sz w:val="28"/>
          <w:szCs w:val="24"/>
        </w:rPr>
        <w:t>0</w:t>
      </w:r>
      <w:r>
        <w:rPr>
          <w:rFonts w:hint="eastAsia" w:ascii="宋体" w:hAnsi="宋体"/>
          <w:sz w:val="28"/>
          <w:szCs w:val="24"/>
        </w:rPr>
        <w:t>个，累计</w:t>
      </w:r>
      <w:r>
        <w:rPr>
          <w:rFonts w:ascii="宋体" w:hAnsi="宋体"/>
          <w:sz w:val="28"/>
          <w:szCs w:val="24"/>
        </w:rPr>
        <w:t>0</w:t>
      </w:r>
      <w:r>
        <w:rPr>
          <w:rFonts w:hint="eastAsia" w:ascii="宋体" w:hAnsi="宋体"/>
          <w:sz w:val="28"/>
          <w:szCs w:val="24"/>
        </w:rPr>
        <w:t>人次。</w:t>
      </w:r>
    </w:p>
    <w:p>
      <w:pPr>
        <w:widowControl/>
        <w:numPr>
          <w:ilvl w:val="0"/>
          <w:numId w:val="2"/>
        </w:numPr>
        <w:spacing w:line="600" w:lineRule="exact"/>
        <w:ind w:left="420" w:leftChars="200" w:firstLine="560" w:firstLineChars="200"/>
        <w:jc w:val="left"/>
        <w:rPr>
          <w:rFonts w:ascii="宋体" w:hAnsi="宋体"/>
          <w:kern w:val="0"/>
          <w:sz w:val="28"/>
          <w:szCs w:val="24"/>
        </w:rPr>
      </w:pPr>
      <w:r>
        <w:rPr>
          <w:rFonts w:hint="eastAsia" w:ascii="宋体" w:hAnsi="宋体"/>
          <w:sz w:val="28"/>
          <w:szCs w:val="24"/>
        </w:rPr>
        <w:t>公务接待费支出决算为</w:t>
      </w:r>
      <w:r>
        <w:rPr>
          <w:rFonts w:ascii="宋体" w:hAnsi="宋体"/>
          <w:sz w:val="28"/>
          <w:szCs w:val="24"/>
        </w:rPr>
        <w:t>3.58</w:t>
      </w:r>
      <w:r>
        <w:rPr>
          <w:rFonts w:hint="eastAsia" w:ascii="宋体" w:hAnsi="宋体"/>
          <w:sz w:val="28"/>
          <w:szCs w:val="24"/>
        </w:rPr>
        <w:t>万元，全年共接待来访团组</w:t>
      </w:r>
      <w:r>
        <w:rPr>
          <w:rFonts w:ascii="宋体" w:hAnsi="宋体"/>
          <w:sz w:val="28"/>
          <w:szCs w:val="24"/>
        </w:rPr>
        <w:t>84</w:t>
      </w:r>
      <w:r>
        <w:rPr>
          <w:rFonts w:hint="eastAsia" w:ascii="宋体" w:hAnsi="宋体"/>
          <w:sz w:val="28"/>
          <w:szCs w:val="24"/>
        </w:rPr>
        <w:t>个、来宾</w:t>
      </w:r>
      <w:r>
        <w:rPr>
          <w:rFonts w:ascii="宋体" w:hAnsi="宋体"/>
          <w:sz w:val="28"/>
          <w:szCs w:val="24"/>
        </w:rPr>
        <w:t>502</w:t>
      </w:r>
      <w:r>
        <w:rPr>
          <w:rFonts w:hint="eastAsia" w:ascii="宋体" w:hAnsi="宋体"/>
          <w:sz w:val="28"/>
          <w:szCs w:val="24"/>
        </w:rPr>
        <w:t>人次，主要用于</w:t>
      </w:r>
      <w:r>
        <w:rPr>
          <w:rFonts w:hint="eastAsia" w:ascii="宋体" w:hAnsi="宋体"/>
          <w:kern w:val="0"/>
          <w:sz w:val="28"/>
          <w:szCs w:val="24"/>
        </w:rPr>
        <w:t>与有关单位交流工作情况及接受相关部门检查指导工作发生的接待支出。</w:t>
      </w:r>
    </w:p>
    <w:p>
      <w:pPr>
        <w:widowControl/>
        <w:spacing w:line="600" w:lineRule="exact"/>
        <w:ind w:firstLine="840" w:firstLineChars="300"/>
        <w:jc w:val="left"/>
        <w:rPr>
          <w:rFonts w:ascii="宋体" w:hAnsi="宋体"/>
          <w:sz w:val="28"/>
          <w:szCs w:val="24"/>
        </w:rPr>
      </w:pPr>
      <w:r>
        <w:rPr>
          <w:rFonts w:ascii="宋体" w:hAnsi="宋体"/>
          <w:sz w:val="28"/>
          <w:szCs w:val="24"/>
        </w:rPr>
        <w:t>3</w:t>
      </w:r>
      <w:r>
        <w:rPr>
          <w:rFonts w:hint="eastAsia" w:ascii="宋体" w:hAnsi="宋体"/>
          <w:sz w:val="28"/>
          <w:szCs w:val="24"/>
        </w:rPr>
        <w:t>、公务用车购置费及运行维护费支出决算为</w:t>
      </w:r>
      <w:r>
        <w:rPr>
          <w:rFonts w:ascii="宋体" w:hAnsi="宋体"/>
          <w:sz w:val="28"/>
          <w:szCs w:val="24"/>
        </w:rPr>
        <w:t>0</w:t>
      </w:r>
      <w:r>
        <w:rPr>
          <w:rFonts w:hint="eastAsia" w:ascii="宋体" w:hAnsi="宋体"/>
          <w:sz w:val="28"/>
          <w:szCs w:val="24"/>
        </w:rPr>
        <w:t>万元，其中：公务用车购置费</w:t>
      </w:r>
      <w:r>
        <w:rPr>
          <w:rFonts w:ascii="宋体" w:hAnsi="宋体"/>
          <w:sz w:val="28"/>
          <w:szCs w:val="24"/>
        </w:rPr>
        <w:t>0</w:t>
      </w:r>
      <w:r>
        <w:rPr>
          <w:rFonts w:hint="eastAsia" w:ascii="宋体" w:hAnsi="宋体"/>
          <w:sz w:val="28"/>
          <w:szCs w:val="24"/>
        </w:rPr>
        <w:t>万元，本单位更新公务用车</w:t>
      </w:r>
      <w:r>
        <w:rPr>
          <w:rFonts w:ascii="宋体" w:hAnsi="宋体"/>
          <w:sz w:val="28"/>
          <w:szCs w:val="24"/>
        </w:rPr>
        <w:t>0</w:t>
      </w:r>
      <w:r>
        <w:rPr>
          <w:rFonts w:hint="eastAsia" w:ascii="宋体" w:hAnsi="宋体"/>
          <w:sz w:val="28"/>
          <w:szCs w:val="24"/>
        </w:rPr>
        <w:t>辆。公务用车运行维护费</w:t>
      </w:r>
      <w:r>
        <w:rPr>
          <w:rFonts w:ascii="宋体" w:hAnsi="宋体"/>
          <w:sz w:val="28"/>
          <w:szCs w:val="24"/>
        </w:rPr>
        <w:t>0</w:t>
      </w:r>
      <w:r>
        <w:rPr>
          <w:rFonts w:hint="eastAsia" w:ascii="宋体" w:hAnsi="宋体"/>
          <w:sz w:val="28"/>
          <w:szCs w:val="24"/>
        </w:rPr>
        <w:t>万元，截止</w:t>
      </w:r>
      <w:r>
        <w:rPr>
          <w:rFonts w:ascii="宋体" w:hAnsi="宋体"/>
          <w:sz w:val="28"/>
          <w:szCs w:val="24"/>
        </w:rPr>
        <w:t>2021</w:t>
      </w:r>
      <w:r>
        <w:rPr>
          <w:rFonts w:hint="eastAsia" w:ascii="宋体" w:hAnsi="宋体"/>
          <w:sz w:val="28"/>
          <w:szCs w:val="24"/>
        </w:rPr>
        <w:t>年</w:t>
      </w:r>
      <w:r>
        <w:rPr>
          <w:rFonts w:ascii="宋体" w:hAnsi="宋体"/>
          <w:sz w:val="28"/>
          <w:szCs w:val="24"/>
        </w:rPr>
        <w:t>12</w:t>
      </w:r>
      <w:r>
        <w:rPr>
          <w:rFonts w:hint="eastAsia" w:ascii="宋体" w:hAnsi="宋体"/>
          <w:sz w:val="28"/>
          <w:szCs w:val="24"/>
        </w:rPr>
        <w:t>月</w:t>
      </w:r>
      <w:r>
        <w:rPr>
          <w:rFonts w:ascii="宋体" w:hAnsi="宋体"/>
          <w:sz w:val="28"/>
          <w:szCs w:val="24"/>
        </w:rPr>
        <w:t>31</w:t>
      </w:r>
      <w:r>
        <w:rPr>
          <w:rFonts w:hint="eastAsia" w:ascii="宋体" w:hAnsi="宋体"/>
          <w:sz w:val="28"/>
          <w:szCs w:val="24"/>
        </w:rPr>
        <w:t>日，我单位开支财政拨款的公务用车保有量为</w:t>
      </w:r>
      <w:r>
        <w:rPr>
          <w:rFonts w:ascii="宋体" w:hAnsi="宋体"/>
          <w:sz w:val="28"/>
          <w:szCs w:val="24"/>
        </w:rPr>
        <w:t>0</w:t>
      </w:r>
      <w:r>
        <w:rPr>
          <w:rFonts w:hint="eastAsia" w:ascii="宋体" w:hAnsi="宋体"/>
          <w:sz w:val="28"/>
          <w:szCs w:val="24"/>
        </w:rPr>
        <w:t>辆。</w:t>
      </w:r>
    </w:p>
    <w:p>
      <w:pPr>
        <w:widowControl/>
        <w:spacing w:line="600" w:lineRule="exact"/>
        <w:ind w:firstLine="562" w:firstLineChars="200"/>
        <w:jc w:val="left"/>
        <w:rPr>
          <w:rFonts w:ascii="宋体" w:hAnsi="宋体"/>
          <w:b/>
          <w:sz w:val="28"/>
          <w:szCs w:val="24"/>
        </w:rPr>
      </w:pPr>
      <w:r>
        <w:rPr>
          <w:rFonts w:hint="eastAsia" w:ascii="宋体" w:hAnsi="宋体"/>
          <w:b/>
          <w:sz w:val="28"/>
          <w:szCs w:val="24"/>
        </w:rPr>
        <w:t>八、政府性基金预算收入支出决算情况</w:t>
      </w:r>
    </w:p>
    <w:p>
      <w:pPr>
        <w:widowControl/>
        <w:spacing w:line="600" w:lineRule="exact"/>
        <w:ind w:firstLine="560" w:firstLineChars="200"/>
        <w:jc w:val="left"/>
        <w:rPr>
          <w:rFonts w:ascii="宋体" w:hAnsi="宋体"/>
          <w:sz w:val="28"/>
          <w:szCs w:val="24"/>
        </w:rPr>
      </w:pPr>
      <w:r>
        <w:rPr>
          <w:rFonts w:ascii="宋体" w:hAnsi="宋体"/>
          <w:sz w:val="28"/>
          <w:szCs w:val="24"/>
        </w:rPr>
        <w:t>2021</w:t>
      </w:r>
      <w:r>
        <w:rPr>
          <w:rFonts w:hint="eastAsia" w:ascii="宋体" w:hAnsi="宋体"/>
          <w:sz w:val="28"/>
          <w:szCs w:val="24"/>
        </w:rPr>
        <w:t>年度本单位无政府性基金预算收入支出。</w:t>
      </w:r>
    </w:p>
    <w:p>
      <w:pPr>
        <w:widowControl/>
        <w:numPr>
          <w:ilvl w:val="0"/>
          <w:numId w:val="3"/>
        </w:numPr>
        <w:spacing w:line="600" w:lineRule="exact"/>
        <w:ind w:firstLine="562" w:firstLineChars="200"/>
        <w:jc w:val="left"/>
        <w:rPr>
          <w:rFonts w:ascii="宋体" w:hAnsi="宋体"/>
          <w:b/>
          <w:sz w:val="28"/>
          <w:szCs w:val="24"/>
        </w:rPr>
      </w:pPr>
      <w:r>
        <w:rPr>
          <w:rFonts w:hint="eastAsia" w:ascii="宋体" w:hAnsi="宋体"/>
          <w:b/>
          <w:sz w:val="28"/>
          <w:szCs w:val="24"/>
        </w:rPr>
        <w:t>国有资本经营预算财政拨款支出决算情况</w:t>
      </w:r>
    </w:p>
    <w:p>
      <w:pPr>
        <w:widowControl/>
        <w:spacing w:line="600" w:lineRule="exact"/>
        <w:ind w:firstLine="560" w:firstLineChars="200"/>
        <w:jc w:val="left"/>
        <w:rPr>
          <w:rFonts w:ascii="宋体" w:hAnsi="宋体"/>
          <w:sz w:val="28"/>
          <w:szCs w:val="24"/>
        </w:rPr>
      </w:pPr>
      <w:r>
        <w:rPr>
          <w:rFonts w:ascii="宋体" w:hAnsi="宋体"/>
          <w:sz w:val="28"/>
          <w:szCs w:val="24"/>
        </w:rPr>
        <w:t>2021</w:t>
      </w:r>
      <w:r>
        <w:rPr>
          <w:rFonts w:hint="eastAsia" w:ascii="宋体" w:hAnsi="宋体"/>
          <w:sz w:val="28"/>
          <w:szCs w:val="24"/>
        </w:rPr>
        <w:t>年度本单位无国有资本经营预算财政拨款支出。</w:t>
      </w:r>
    </w:p>
    <w:p>
      <w:pPr>
        <w:widowControl/>
        <w:numPr>
          <w:ilvl w:val="0"/>
          <w:numId w:val="3"/>
        </w:numPr>
        <w:spacing w:line="600" w:lineRule="exact"/>
        <w:ind w:firstLine="562" w:firstLineChars="200"/>
        <w:jc w:val="left"/>
        <w:rPr>
          <w:rFonts w:ascii="宋体" w:hAnsi="宋体"/>
          <w:sz w:val="28"/>
          <w:szCs w:val="24"/>
        </w:rPr>
      </w:pPr>
      <w:r>
        <w:rPr>
          <w:rFonts w:hint="eastAsia" w:ascii="宋体" w:hAnsi="宋体"/>
          <w:b/>
          <w:sz w:val="28"/>
          <w:szCs w:val="24"/>
        </w:rPr>
        <w:t>机关运行经费支出说明</w:t>
      </w:r>
    </w:p>
    <w:p>
      <w:pPr>
        <w:widowControl/>
        <w:spacing w:line="600" w:lineRule="exact"/>
        <w:ind w:firstLine="560" w:firstLineChars="200"/>
        <w:jc w:val="left"/>
        <w:rPr>
          <w:rFonts w:ascii="宋体" w:hAnsi="宋体"/>
          <w:sz w:val="28"/>
          <w:szCs w:val="24"/>
        </w:rPr>
      </w:pPr>
      <w:r>
        <w:rPr>
          <w:rFonts w:hint="eastAsia" w:ascii="宋体" w:hAnsi="宋体"/>
          <w:sz w:val="28"/>
          <w:szCs w:val="24"/>
        </w:rPr>
        <w:t>本单位</w:t>
      </w:r>
      <w:r>
        <w:rPr>
          <w:rFonts w:ascii="宋体" w:hAnsi="宋体"/>
          <w:sz w:val="28"/>
          <w:szCs w:val="24"/>
        </w:rPr>
        <w:t>2021</w:t>
      </w:r>
      <w:r>
        <w:rPr>
          <w:rFonts w:hint="eastAsia" w:ascii="宋体" w:hAnsi="宋体"/>
          <w:sz w:val="28"/>
          <w:szCs w:val="24"/>
        </w:rPr>
        <w:t>年度机关运行经费支出71.57万元，比</w:t>
      </w:r>
      <w:r>
        <w:rPr>
          <w:rFonts w:hint="eastAsia" w:ascii="宋体" w:hAnsi="宋体"/>
          <w:sz w:val="28"/>
          <w:szCs w:val="24"/>
          <w:lang w:eastAsia="zh-CN"/>
        </w:rPr>
        <w:t>年初预算</w:t>
      </w:r>
      <w:bookmarkStart w:id="0" w:name="_GoBack"/>
      <w:bookmarkEnd w:id="0"/>
      <w:r>
        <w:rPr>
          <w:rFonts w:hint="eastAsia" w:ascii="宋体" w:hAnsi="宋体"/>
          <w:sz w:val="28"/>
          <w:szCs w:val="24"/>
        </w:rPr>
        <w:t>数减少56.79万元，降低44.24</w:t>
      </w:r>
      <w:r>
        <w:rPr>
          <w:rFonts w:ascii="宋体" w:hAnsi="宋体"/>
          <w:sz w:val="28"/>
          <w:szCs w:val="24"/>
        </w:rPr>
        <w:t>%</w:t>
      </w:r>
      <w:r>
        <w:rPr>
          <w:rFonts w:hint="eastAsia" w:ascii="宋体" w:hAnsi="宋体"/>
          <w:sz w:val="28"/>
          <w:szCs w:val="24"/>
        </w:rPr>
        <w:t>。主要原因是：我单位积极贯彻落实中央关于厉行节约的要求，严控各项经费的开支。</w:t>
      </w:r>
    </w:p>
    <w:p>
      <w:pPr>
        <w:widowControl/>
        <w:numPr>
          <w:ilvl w:val="0"/>
          <w:numId w:val="3"/>
        </w:numPr>
        <w:spacing w:line="600" w:lineRule="exact"/>
        <w:ind w:firstLine="562" w:firstLineChars="200"/>
        <w:jc w:val="left"/>
        <w:rPr>
          <w:rFonts w:ascii="宋体" w:hAnsi="宋体"/>
          <w:b/>
          <w:sz w:val="28"/>
          <w:szCs w:val="24"/>
        </w:rPr>
      </w:pPr>
      <w:r>
        <w:rPr>
          <w:rFonts w:hint="eastAsia" w:ascii="宋体" w:hAnsi="宋体"/>
          <w:b/>
          <w:sz w:val="28"/>
          <w:szCs w:val="24"/>
        </w:rPr>
        <w:t>一般性支出情况说明</w:t>
      </w:r>
    </w:p>
    <w:p>
      <w:pPr>
        <w:widowControl/>
        <w:spacing w:line="600" w:lineRule="exact"/>
        <w:ind w:left="420" w:leftChars="200" w:firstLine="560" w:firstLineChars="200"/>
        <w:jc w:val="left"/>
        <w:rPr>
          <w:rFonts w:ascii="宋体" w:hAnsi="宋体"/>
          <w:sz w:val="28"/>
          <w:szCs w:val="24"/>
        </w:rPr>
      </w:pPr>
      <w:r>
        <w:rPr>
          <w:rFonts w:ascii="宋体" w:hAnsi="宋体"/>
          <w:sz w:val="28"/>
          <w:szCs w:val="24"/>
        </w:rPr>
        <w:t>2021</w:t>
      </w:r>
      <w:r>
        <w:rPr>
          <w:rFonts w:hint="eastAsia" w:ascii="宋体" w:hAnsi="宋体"/>
          <w:sz w:val="28"/>
          <w:szCs w:val="24"/>
        </w:rPr>
        <w:t>年本单位开支会议费</w:t>
      </w:r>
      <w:r>
        <w:rPr>
          <w:rFonts w:ascii="宋体" w:hAnsi="宋体"/>
          <w:sz w:val="28"/>
          <w:szCs w:val="24"/>
        </w:rPr>
        <w:t>0</w:t>
      </w:r>
      <w:r>
        <w:rPr>
          <w:rFonts w:hint="eastAsia" w:ascii="宋体" w:hAnsi="宋体"/>
          <w:sz w:val="28"/>
          <w:szCs w:val="24"/>
        </w:rPr>
        <w:t>万元，人数</w:t>
      </w:r>
      <w:r>
        <w:rPr>
          <w:rFonts w:ascii="宋体" w:hAnsi="宋体"/>
          <w:sz w:val="28"/>
          <w:szCs w:val="24"/>
        </w:rPr>
        <w:t>0</w:t>
      </w:r>
      <w:r>
        <w:rPr>
          <w:rFonts w:hint="eastAsia" w:ascii="宋体" w:hAnsi="宋体"/>
          <w:sz w:val="28"/>
          <w:szCs w:val="24"/>
        </w:rPr>
        <w:t>人；开支培训费</w:t>
      </w:r>
      <w:r>
        <w:rPr>
          <w:rFonts w:ascii="宋体" w:hAnsi="宋体"/>
          <w:sz w:val="28"/>
          <w:szCs w:val="24"/>
        </w:rPr>
        <w:t>1.7</w:t>
      </w:r>
      <w:r>
        <w:rPr>
          <w:rFonts w:hint="eastAsia" w:ascii="宋体" w:hAnsi="宋体"/>
          <w:sz w:val="28"/>
          <w:szCs w:val="24"/>
        </w:rPr>
        <w:t>万元。用于开支湖南省事业单位工作人员网络培训，人数</w:t>
      </w:r>
      <w:r>
        <w:rPr>
          <w:rFonts w:ascii="宋体" w:hAnsi="宋体"/>
          <w:sz w:val="28"/>
          <w:szCs w:val="24"/>
        </w:rPr>
        <w:t>25</w:t>
      </w:r>
      <w:r>
        <w:rPr>
          <w:rFonts w:hint="eastAsia" w:ascii="宋体" w:hAnsi="宋体"/>
          <w:sz w:val="28"/>
          <w:szCs w:val="24"/>
        </w:rPr>
        <w:t>人，内容为水利水电系列。用于开支水土保持业务培训，人数</w:t>
      </w:r>
      <w:r>
        <w:rPr>
          <w:rFonts w:ascii="宋体" w:hAnsi="宋体"/>
          <w:sz w:val="28"/>
          <w:szCs w:val="24"/>
        </w:rPr>
        <w:t>3</w:t>
      </w:r>
      <w:r>
        <w:rPr>
          <w:rFonts w:hint="eastAsia" w:ascii="宋体" w:hAnsi="宋体"/>
          <w:sz w:val="28"/>
          <w:szCs w:val="24"/>
        </w:rPr>
        <w:t>人，内容为水土保持方案编制和水土流失防治措施。用于开支入党积极分子培训，人数</w:t>
      </w:r>
      <w:r>
        <w:rPr>
          <w:rFonts w:ascii="宋体" w:hAnsi="宋体"/>
          <w:sz w:val="28"/>
          <w:szCs w:val="24"/>
        </w:rPr>
        <w:t>1</w:t>
      </w:r>
      <w:r>
        <w:rPr>
          <w:rFonts w:hint="eastAsia" w:ascii="宋体" w:hAnsi="宋体"/>
          <w:sz w:val="28"/>
          <w:szCs w:val="24"/>
        </w:rPr>
        <w:t>人，内容为入党积极分子培训；举办节庆、晚会、论坛、赛事活动，开支</w:t>
      </w:r>
      <w:r>
        <w:rPr>
          <w:rFonts w:ascii="宋体" w:hAnsi="宋体"/>
          <w:sz w:val="28"/>
          <w:szCs w:val="24"/>
        </w:rPr>
        <w:t>0</w:t>
      </w:r>
      <w:r>
        <w:rPr>
          <w:rFonts w:hint="eastAsia" w:ascii="宋体" w:hAnsi="宋体"/>
          <w:sz w:val="28"/>
          <w:szCs w:val="24"/>
        </w:rPr>
        <w:t>万元。</w:t>
      </w:r>
    </w:p>
    <w:p>
      <w:pPr>
        <w:pStyle w:val="5"/>
        <w:ind w:firstLine="562" w:firstLineChars="200"/>
        <w:rPr>
          <w:rFonts w:ascii="宋体" w:hAnsi="宋体"/>
          <w:sz w:val="28"/>
        </w:rPr>
      </w:pPr>
      <w:r>
        <w:rPr>
          <w:rFonts w:hint="eastAsia" w:ascii="宋体" w:hAnsi="宋体"/>
          <w:sz w:val="28"/>
        </w:rPr>
        <w:t>十二、政府采购支出说明</w:t>
      </w:r>
    </w:p>
    <w:p>
      <w:pPr>
        <w:ind w:firstLine="560" w:firstLineChars="200"/>
        <w:rPr>
          <w:rFonts w:ascii="宋体" w:hAnsi="宋体"/>
          <w:sz w:val="28"/>
          <w:szCs w:val="24"/>
        </w:rPr>
      </w:pPr>
      <w:r>
        <w:rPr>
          <w:rFonts w:ascii="宋体" w:hAnsi="宋体"/>
          <w:sz w:val="28"/>
          <w:szCs w:val="24"/>
        </w:rPr>
        <w:t>2021</w:t>
      </w:r>
      <w:r>
        <w:rPr>
          <w:rFonts w:hint="eastAsia" w:ascii="宋体" w:hAnsi="宋体"/>
          <w:sz w:val="28"/>
          <w:szCs w:val="24"/>
        </w:rPr>
        <w:t>年度本单位政府采购支出总额</w:t>
      </w:r>
      <w:r>
        <w:rPr>
          <w:rFonts w:ascii="宋体" w:hAnsi="宋体"/>
          <w:sz w:val="28"/>
          <w:szCs w:val="24"/>
        </w:rPr>
        <w:t>14</w:t>
      </w:r>
      <w:r>
        <w:rPr>
          <w:rFonts w:hint="eastAsia" w:ascii="宋体" w:hAnsi="宋体"/>
          <w:sz w:val="28"/>
          <w:szCs w:val="24"/>
        </w:rPr>
        <w:t>万元，其中：政府采购货物</w:t>
      </w:r>
    </w:p>
    <w:p>
      <w:pPr>
        <w:pStyle w:val="2"/>
        <w:ind w:firstLine="420"/>
      </w:pPr>
    </w:p>
    <w:p>
      <w:pPr>
        <w:pStyle w:val="2"/>
        <w:ind w:firstLine="420"/>
      </w:pPr>
    </w:p>
    <w:p>
      <w:pPr>
        <w:rPr>
          <w:rFonts w:ascii="宋体" w:hAnsi="宋体"/>
          <w:sz w:val="28"/>
          <w:szCs w:val="24"/>
        </w:rPr>
      </w:pPr>
      <w:r>
        <w:rPr>
          <w:rFonts w:hint="eastAsia" w:ascii="宋体" w:hAnsi="宋体"/>
          <w:sz w:val="28"/>
          <w:szCs w:val="24"/>
        </w:rPr>
        <w:t>支出</w:t>
      </w:r>
      <w:r>
        <w:rPr>
          <w:rFonts w:ascii="宋体" w:hAnsi="宋体"/>
          <w:sz w:val="28"/>
          <w:szCs w:val="24"/>
        </w:rPr>
        <w:t>14</w:t>
      </w:r>
      <w:r>
        <w:rPr>
          <w:rFonts w:hint="eastAsia" w:ascii="宋体" w:hAnsi="宋体"/>
          <w:sz w:val="28"/>
          <w:szCs w:val="24"/>
        </w:rPr>
        <w:t>万元、政府采购工程支出</w:t>
      </w:r>
      <w:r>
        <w:rPr>
          <w:rFonts w:ascii="宋体" w:hAnsi="宋体"/>
          <w:sz w:val="28"/>
          <w:szCs w:val="24"/>
        </w:rPr>
        <w:t xml:space="preserve">0 </w:t>
      </w:r>
      <w:r>
        <w:rPr>
          <w:rFonts w:hint="eastAsia" w:ascii="宋体" w:hAnsi="宋体"/>
          <w:sz w:val="28"/>
          <w:szCs w:val="24"/>
        </w:rPr>
        <w:t>万元、政府采购服务支出</w:t>
      </w:r>
      <w:r>
        <w:rPr>
          <w:rFonts w:ascii="宋体" w:hAnsi="宋体"/>
          <w:sz w:val="28"/>
          <w:szCs w:val="24"/>
        </w:rPr>
        <w:t>0</w:t>
      </w:r>
      <w:r>
        <w:rPr>
          <w:rFonts w:hint="eastAsia" w:ascii="宋体" w:hAnsi="宋体"/>
          <w:sz w:val="28"/>
          <w:szCs w:val="24"/>
        </w:rPr>
        <w:t>万元，</w:t>
      </w:r>
    </w:p>
    <w:p>
      <w:pPr>
        <w:ind w:firstLine="560" w:firstLineChars="200"/>
        <w:rPr>
          <w:rFonts w:ascii="宋体" w:hAnsi="宋体"/>
          <w:sz w:val="28"/>
          <w:szCs w:val="24"/>
        </w:rPr>
      </w:pPr>
    </w:p>
    <w:p>
      <w:pPr>
        <w:rPr>
          <w:rFonts w:ascii="宋体" w:hAnsi="宋体"/>
          <w:sz w:val="28"/>
          <w:szCs w:val="24"/>
        </w:rPr>
      </w:pPr>
      <w:r>
        <w:rPr>
          <w:rFonts w:hint="eastAsia" w:ascii="宋体" w:hAnsi="宋体"/>
          <w:sz w:val="28"/>
          <w:szCs w:val="24"/>
        </w:rPr>
        <w:t>授予中小企业合同金额</w:t>
      </w:r>
      <w:r>
        <w:rPr>
          <w:rFonts w:ascii="宋体" w:hAnsi="宋体"/>
          <w:sz w:val="28"/>
          <w:szCs w:val="24"/>
        </w:rPr>
        <w:t>0</w:t>
      </w:r>
      <w:r>
        <w:rPr>
          <w:rFonts w:hint="eastAsia" w:ascii="宋体" w:hAnsi="宋体"/>
          <w:sz w:val="28"/>
          <w:szCs w:val="24"/>
        </w:rPr>
        <w:t>万元，占政府采购支出总额的</w:t>
      </w:r>
      <w:r>
        <w:rPr>
          <w:rFonts w:ascii="宋体" w:hAnsi="宋体"/>
          <w:sz w:val="28"/>
          <w:szCs w:val="24"/>
        </w:rPr>
        <w:t>0%</w:t>
      </w:r>
      <w:r>
        <w:rPr>
          <w:rFonts w:hint="eastAsia" w:ascii="宋体" w:hAnsi="宋体"/>
          <w:sz w:val="28"/>
          <w:szCs w:val="24"/>
        </w:rPr>
        <w:t>，其中：授</w:t>
      </w:r>
    </w:p>
    <w:p>
      <w:pPr>
        <w:rPr>
          <w:rFonts w:ascii="宋体" w:hAnsi="宋体"/>
          <w:sz w:val="28"/>
          <w:szCs w:val="24"/>
        </w:rPr>
      </w:pPr>
    </w:p>
    <w:p>
      <w:pPr>
        <w:rPr>
          <w:rFonts w:ascii="宋体" w:hAnsi="宋体"/>
          <w:sz w:val="28"/>
          <w:szCs w:val="24"/>
        </w:rPr>
      </w:pPr>
      <w:r>
        <w:rPr>
          <w:rFonts w:hint="eastAsia" w:ascii="宋体" w:hAnsi="宋体"/>
          <w:sz w:val="28"/>
          <w:szCs w:val="24"/>
        </w:rPr>
        <w:t>予小微企业合同金额</w:t>
      </w:r>
      <w:r>
        <w:rPr>
          <w:rFonts w:ascii="宋体" w:hAnsi="宋体"/>
          <w:sz w:val="28"/>
          <w:szCs w:val="24"/>
        </w:rPr>
        <w:t>0</w:t>
      </w:r>
      <w:r>
        <w:rPr>
          <w:rFonts w:hint="eastAsia" w:ascii="宋体" w:hAnsi="宋体"/>
          <w:sz w:val="28"/>
          <w:szCs w:val="24"/>
        </w:rPr>
        <w:t>万元，占授予中小企业合同金额的</w:t>
      </w:r>
      <w:r>
        <w:rPr>
          <w:rFonts w:ascii="宋体" w:hAnsi="宋体"/>
          <w:sz w:val="28"/>
          <w:szCs w:val="24"/>
        </w:rPr>
        <w:t>0%</w:t>
      </w:r>
      <w:r>
        <w:rPr>
          <w:rFonts w:hint="eastAsia" w:ascii="宋体" w:hAnsi="宋体"/>
          <w:sz w:val="28"/>
          <w:szCs w:val="24"/>
        </w:rPr>
        <w:t>；货物采</w:t>
      </w:r>
    </w:p>
    <w:p>
      <w:pPr>
        <w:rPr>
          <w:rFonts w:ascii="宋体" w:hAnsi="宋体"/>
          <w:sz w:val="28"/>
          <w:szCs w:val="24"/>
        </w:rPr>
      </w:pPr>
    </w:p>
    <w:p>
      <w:pPr>
        <w:rPr>
          <w:rFonts w:ascii="宋体" w:hAnsi="宋体"/>
          <w:sz w:val="28"/>
          <w:szCs w:val="24"/>
        </w:rPr>
      </w:pPr>
      <w:r>
        <w:rPr>
          <w:rFonts w:hint="eastAsia" w:ascii="宋体" w:hAnsi="宋体"/>
          <w:sz w:val="28"/>
          <w:szCs w:val="24"/>
        </w:rPr>
        <w:t>购授予中小企业合同金额占货物支出金额的</w:t>
      </w:r>
      <w:r>
        <w:rPr>
          <w:rFonts w:ascii="宋体" w:hAnsi="宋体"/>
          <w:sz w:val="28"/>
          <w:szCs w:val="24"/>
        </w:rPr>
        <w:t>0%</w:t>
      </w:r>
      <w:r>
        <w:rPr>
          <w:rFonts w:hint="eastAsia" w:ascii="宋体" w:hAnsi="宋体"/>
          <w:sz w:val="28"/>
          <w:szCs w:val="24"/>
        </w:rPr>
        <w:t>，工程采购授予中小企</w:t>
      </w:r>
    </w:p>
    <w:p>
      <w:pPr>
        <w:rPr>
          <w:rFonts w:ascii="宋体" w:hAnsi="宋体"/>
          <w:sz w:val="28"/>
          <w:szCs w:val="24"/>
        </w:rPr>
      </w:pPr>
    </w:p>
    <w:p>
      <w:pPr>
        <w:rPr>
          <w:rFonts w:ascii="宋体" w:hAnsi="宋体"/>
          <w:sz w:val="28"/>
          <w:szCs w:val="24"/>
        </w:rPr>
      </w:pPr>
      <w:r>
        <w:rPr>
          <w:rFonts w:hint="eastAsia" w:ascii="宋体" w:hAnsi="宋体"/>
          <w:sz w:val="28"/>
          <w:szCs w:val="24"/>
        </w:rPr>
        <w:t>业合同金额占工程支出金额的</w:t>
      </w:r>
      <w:r>
        <w:rPr>
          <w:rFonts w:ascii="宋体" w:hAnsi="宋体"/>
          <w:sz w:val="28"/>
          <w:szCs w:val="24"/>
        </w:rPr>
        <w:t>0%</w:t>
      </w:r>
      <w:r>
        <w:rPr>
          <w:rFonts w:hint="eastAsia" w:ascii="宋体" w:hAnsi="宋体"/>
          <w:sz w:val="28"/>
          <w:szCs w:val="24"/>
        </w:rPr>
        <w:t>，服务采购授予中小企业合同金额占服</w:t>
      </w:r>
    </w:p>
    <w:p>
      <w:pPr>
        <w:rPr>
          <w:rFonts w:ascii="宋体" w:hAnsi="宋体"/>
          <w:sz w:val="28"/>
          <w:szCs w:val="24"/>
        </w:rPr>
      </w:pPr>
    </w:p>
    <w:p>
      <w:pPr>
        <w:rPr>
          <w:rFonts w:ascii="宋体" w:hAnsi="宋体"/>
          <w:sz w:val="28"/>
          <w:szCs w:val="24"/>
        </w:rPr>
      </w:pPr>
      <w:r>
        <w:rPr>
          <w:rFonts w:hint="eastAsia" w:ascii="宋体" w:hAnsi="宋体"/>
          <w:sz w:val="28"/>
          <w:szCs w:val="24"/>
        </w:rPr>
        <w:t>务支出金额的</w:t>
      </w:r>
      <w:r>
        <w:rPr>
          <w:rFonts w:ascii="宋体" w:hAnsi="宋体"/>
          <w:sz w:val="28"/>
          <w:szCs w:val="24"/>
        </w:rPr>
        <w:t>0%</w:t>
      </w:r>
      <w:r>
        <w:rPr>
          <w:rFonts w:hint="eastAsia" w:ascii="宋体" w:hAnsi="宋体"/>
          <w:sz w:val="28"/>
          <w:szCs w:val="24"/>
        </w:rPr>
        <w:t>。</w:t>
      </w:r>
    </w:p>
    <w:p>
      <w:pPr>
        <w:rPr>
          <w:rFonts w:ascii="宋体" w:hAnsi="宋体"/>
          <w:sz w:val="28"/>
          <w:szCs w:val="24"/>
        </w:rPr>
      </w:pPr>
    </w:p>
    <w:p>
      <w:pPr>
        <w:ind w:firstLine="562" w:firstLineChars="200"/>
        <w:rPr>
          <w:rFonts w:ascii="宋体" w:hAnsi="宋体"/>
          <w:b/>
          <w:sz w:val="28"/>
          <w:szCs w:val="24"/>
        </w:rPr>
      </w:pPr>
      <w:r>
        <w:rPr>
          <w:rFonts w:hint="eastAsia" w:ascii="宋体" w:hAnsi="宋体"/>
          <w:b/>
          <w:sz w:val="28"/>
          <w:szCs w:val="24"/>
        </w:rPr>
        <w:t>十三、国有资产占用情况说明</w:t>
      </w:r>
    </w:p>
    <w:p>
      <w:pPr>
        <w:rPr>
          <w:rFonts w:ascii="宋体" w:hAnsi="宋体"/>
          <w:sz w:val="28"/>
          <w:szCs w:val="24"/>
        </w:rPr>
      </w:pPr>
    </w:p>
    <w:p>
      <w:pPr>
        <w:ind w:firstLine="560" w:firstLineChars="200"/>
        <w:rPr>
          <w:rFonts w:ascii="宋体" w:hAnsi="宋体"/>
          <w:sz w:val="28"/>
          <w:szCs w:val="24"/>
        </w:rPr>
      </w:pPr>
      <w:r>
        <w:rPr>
          <w:rFonts w:hint="eastAsia" w:ascii="宋体" w:hAnsi="宋体"/>
          <w:sz w:val="28"/>
          <w:szCs w:val="24"/>
        </w:rPr>
        <w:t>截至</w:t>
      </w:r>
      <w:r>
        <w:rPr>
          <w:rFonts w:ascii="宋体" w:hAnsi="宋体"/>
          <w:sz w:val="28"/>
          <w:szCs w:val="24"/>
        </w:rPr>
        <w:t>2021</w:t>
      </w:r>
      <w:r>
        <w:rPr>
          <w:rFonts w:hint="eastAsia" w:ascii="宋体" w:hAnsi="宋体"/>
          <w:sz w:val="28"/>
          <w:szCs w:val="24"/>
        </w:rPr>
        <w:t>年</w:t>
      </w:r>
      <w:r>
        <w:rPr>
          <w:rFonts w:ascii="宋体" w:hAnsi="宋体"/>
          <w:sz w:val="28"/>
          <w:szCs w:val="24"/>
        </w:rPr>
        <w:t>12</w:t>
      </w:r>
      <w:r>
        <w:rPr>
          <w:rFonts w:hint="eastAsia" w:ascii="宋体" w:hAnsi="宋体"/>
          <w:sz w:val="28"/>
          <w:szCs w:val="24"/>
        </w:rPr>
        <w:t>月</w:t>
      </w:r>
      <w:r>
        <w:rPr>
          <w:rFonts w:ascii="宋体" w:hAnsi="宋体"/>
          <w:sz w:val="28"/>
          <w:szCs w:val="24"/>
        </w:rPr>
        <w:t>31</w:t>
      </w:r>
      <w:r>
        <w:rPr>
          <w:rFonts w:hint="eastAsia" w:ascii="宋体" w:hAnsi="宋体"/>
          <w:sz w:val="28"/>
          <w:szCs w:val="24"/>
        </w:rPr>
        <w:t>日，本单位共有车辆</w:t>
      </w:r>
      <w:r>
        <w:rPr>
          <w:rFonts w:ascii="宋体" w:hAnsi="宋体"/>
          <w:sz w:val="28"/>
          <w:szCs w:val="24"/>
        </w:rPr>
        <w:t>0</w:t>
      </w:r>
      <w:r>
        <w:rPr>
          <w:rFonts w:hint="eastAsia" w:ascii="宋体" w:hAnsi="宋体"/>
          <w:sz w:val="28"/>
          <w:szCs w:val="24"/>
        </w:rPr>
        <w:t>辆，其中，主要领导</w:t>
      </w:r>
    </w:p>
    <w:p>
      <w:pPr>
        <w:pStyle w:val="2"/>
        <w:ind w:firstLine="420"/>
      </w:pPr>
    </w:p>
    <w:p>
      <w:pPr>
        <w:rPr>
          <w:rFonts w:ascii="宋体" w:hAnsi="宋体"/>
          <w:sz w:val="28"/>
          <w:szCs w:val="24"/>
        </w:rPr>
      </w:pPr>
      <w:r>
        <w:rPr>
          <w:rFonts w:hint="eastAsia" w:ascii="宋体" w:hAnsi="宋体"/>
          <w:sz w:val="28"/>
          <w:szCs w:val="24"/>
        </w:rPr>
        <w:t>干部用车</w:t>
      </w:r>
      <w:r>
        <w:rPr>
          <w:rFonts w:ascii="宋体" w:hAnsi="宋体"/>
          <w:sz w:val="28"/>
          <w:szCs w:val="24"/>
        </w:rPr>
        <w:t>0</w:t>
      </w:r>
      <w:r>
        <w:rPr>
          <w:rFonts w:hint="eastAsia" w:ascii="宋体" w:hAnsi="宋体"/>
          <w:sz w:val="28"/>
          <w:szCs w:val="24"/>
        </w:rPr>
        <w:t>辆，机要通信用车</w:t>
      </w:r>
      <w:r>
        <w:rPr>
          <w:rFonts w:ascii="宋体" w:hAnsi="宋体"/>
          <w:sz w:val="28"/>
          <w:szCs w:val="24"/>
        </w:rPr>
        <w:t>0</w:t>
      </w:r>
      <w:r>
        <w:rPr>
          <w:rFonts w:hint="eastAsia" w:ascii="宋体" w:hAnsi="宋体"/>
          <w:sz w:val="28"/>
          <w:szCs w:val="24"/>
        </w:rPr>
        <w:t>辆、应急保障用车</w:t>
      </w:r>
      <w:r>
        <w:rPr>
          <w:rFonts w:ascii="宋体" w:hAnsi="宋体"/>
          <w:sz w:val="28"/>
          <w:szCs w:val="24"/>
        </w:rPr>
        <w:t>0</w:t>
      </w:r>
      <w:r>
        <w:rPr>
          <w:rFonts w:hint="eastAsia" w:ascii="宋体" w:hAnsi="宋体"/>
          <w:sz w:val="28"/>
          <w:szCs w:val="24"/>
        </w:rPr>
        <w:t>辆、执法执勤用车</w:t>
      </w:r>
    </w:p>
    <w:p>
      <w:pPr>
        <w:rPr>
          <w:rFonts w:ascii="宋体" w:hAnsi="宋体"/>
          <w:sz w:val="28"/>
          <w:szCs w:val="24"/>
        </w:rPr>
      </w:pPr>
    </w:p>
    <w:p>
      <w:pPr>
        <w:rPr>
          <w:rFonts w:ascii="宋体" w:hAnsi="宋体"/>
          <w:sz w:val="28"/>
          <w:szCs w:val="24"/>
        </w:rPr>
      </w:pPr>
      <w:r>
        <w:rPr>
          <w:rFonts w:ascii="宋体" w:hAnsi="宋体"/>
          <w:sz w:val="28"/>
          <w:szCs w:val="24"/>
        </w:rPr>
        <w:t>0</w:t>
      </w:r>
      <w:r>
        <w:rPr>
          <w:rFonts w:hint="eastAsia" w:ascii="宋体" w:hAnsi="宋体"/>
          <w:sz w:val="28"/>
          <w:szCs w:val="24"/>
        </w:rPr>
        <w:t>辆、特种专业技术用车</w:t>
      </w:r>
      <w:r>
        <w:rPr>
          <w:rFonts w:ascii="宋体" w:hAnsi="宋体"/>
          <w:sz w:val="28"/>
          <w:szCs w:val="24"/>
        </w:rPr>
        <w:t>0</w:t>
      </w:r>
      <w:r>
        <w:rPr>
          <w:rFonts w:hint="eastAsia" w:ascii="宋体" w:hAnsi="宋体"/>
          <w:sz w:val="28"/>
          <w:szCs w:val="24"/>
        </w:rPr>
        <w:t>辆、其他用车</w:t>
      </w:r>
      <w:r>
        <w:rPr>
          <w:rFonts w:ascii="宋体" w:hAnsi="宋体"/>
          <w:sz w:val="28"/>
          <w:szCs w:val="24"/>
        </w:rPr>
        <w:t>0</w:t>
      </w:r>
      <w:r>
        <w:rPr>
          <w:rFonts w:hint="eastAsia" w:ascii="宋体" w:hAnsi="宋体"/>
          <w:sz w:val="28"/>
          <w:szCs w:val="24"/>
        </w:rPr>
        <w:t>辆，单位价值</w:t>
      </w:r>
      <w:r>
        <w:rPr>
          <w:rFonts w:ascii="宋体" w:hAnsi="宋体"/>
          <w:sz w:val="28"/>
          <w:szCs w:val="24"/>
        </w:rPr>
        <w:t>50</w:t>
      </w:r>
      <w:r>
        <w:rPr>
          <w:rFonts w:hint="eastAsia" w:ascii="宋体" w:hAnsi="宋体"/>
          <w:sz w:val="28"/>
          <w:szCs w:val="24"/>
        </w:rPr>
        <w:t>万元以上通</w:t>
      </w:r>
    </w:p>
    <w:p>
      <w:pPr>
        <w:rPr>
          <w:rFonts w:ascii="宋体" w:hAnsi="宋体"/>
          <w:sz w:val="28"/>
          <w:szCs w:val="24"/>
        </w:rPr>
      </w:pPr>
    </w:p>
    <w:p>
      <w:pPr>
        <w:rPr>
          <w:rFonts w:ascii="宋体" w:hAnsi="宋体"/>
          <w:sz w:val="28"/>
          <w:szCs w:val="24"/>
        </w:rPr>
      </w:pPr>
      <w:r>
        <w:rPr>
          <w:rFonts w:hint="eastAsia" w:ascii="宋体" w:hAnsi="宋体"/>
          <w:sz w:val="28"/>
          <w:szCs w:val="24"/>
        </w:rPr>
        <w:t>用设备</w:t>
      </w:r>
      <w:r>
        <w:rPr>
          <w:rFonts w:ascii="宋体" w:hAnsi="宋体"/>
          <w:sz w:val="28"/>
          <w:szCs w:val="24"/>
        </w:rPr>
        <w:t>0</w:t>
      </w:r>
      <w:r>
        <w:rPr>
          <w:rFonts w:hint="eastAsia" w:ascii="宋体" w:hAnsi="宋体"/>
          <w:sz w:val="28"/>
          <w:szCs w:val="24"/>
        </w:rPr>
        <w:t>台（套）；单位价值</w:t>
      </w:r>
      <w:r>
        <w:rPr>
          <w:rFonts w:ascii="宋体" w:hAnsi="宋体"/>
          <w:sz w:val="28"/>
          <w:szCs w:val="24"/>
        </w:rPr>
        <w:t>100</w:t>
      </w:r>
      <w:r>
        <w:rPr>
          <w:rFonts w:hint="eastAsia" w:ascii="宋体" w:hAnsi="宋体"/>
          <w:sz w:val="28"/>
          <w:szCs w:val="24"/>
        </w:rPr>
        <w:t>万元以上专用设备</w:t>
      </w:r>
      <w:r>
        <w:rPr>
          <w:rFonts w:ascii="宋体" w:hAnsi="宋体"/>
          <w:sz w:val="28"/>
          <w:szCs w:val="24"/>
        </w:rPr>
        <w:t>0</w:t>
      </w:r>
      <w:r>
        <w:rPr>
          <w:rFonts w:hint="eastAsia" w:ascii="宋体" w:hAnsi="宋体"/>
          <w:sz w:val="28"/>
          <w:szCs w:val="24"/>
        </w:rPr>
        <w:t>台（套）。</w:t>
      </w:r>
    </w:p>
    <w:p>
      <w:pPr>
        <w:rPr>
          <w:rFonts w:ascii="宋体" w:hAnsi="宋体"/>
          <w:sz w:val="28"/>
          <w:szCs w:val="24"/>
        </w:rPr>
      </w:pPr>
    </w:p>
    <w:p>
      <w:pPr>
        <w:ind w:firstLine="562" w:firstLineChars="200"/>
        <w:rPr>
          <w:rFonts w:ascii="宋体" w:hAnsi="宋体"/>
          <w:b/>
          <w:sz w:val="28"/>
          <w:szCs w:val="24"/>
        </w:rPr>
      </w:pPr>
      <w:r>
        <w:rPr>
          <w:rFonts w:hint="eastAsia" w:ascii="宋体" w:hAnsi="宋体"/>
          <w:b/>
          <w:sz w:val="28"/>
          <w:szCs w:val="24"/>
        </w:rPr>
        <w:t>十四、</w:t>
      </w:r>
      <w:r>
        <w:rPr>
          <w:rFonts w:hint="eastAsia" w:ascii="仿宋_GB2312" w:hAnsi="仿宋_GB2312"/>
          <w:b/>
          <w:sz w:val="28"/>
        </w:rPr>
        <w:t>关于</w:t>
      </w:r>
      <w:r>
        <w:rPr>
          <w:rFonts w:hint="eastAsia"/>
          <w:b/>
          <w:sz w:val="28"/>
        </w:rPr>
        <w:t>部门整体支出绩效情况说明</w:t>
      </w:r>
    </w:p>
    <w:p>
      <w:pPr>
        <w:ind w:firstLine="560" w:firstLineChars="200"/>
        <w:rPr>
          <w:rFonts w:ascii="宋体" w:hAnsi="宋体"/>
          <w:sz w:val="28"/>
          <w:szCs w:val="24"/>
        </w:rPr>
      </w:pPr>
    </w:p>
    <w:p>
      <w:pPr>
        <w:spacing w:line="360" w:lineRule="auto"/>
        <w:ind w:firstLine="560" w:firstLineChars="200"/>
        <w:rPr>
          <w:rFonts w:ascii="宋体" w:hAnsi="宋体"/>
          <w:sz w:val="28"/>
          <w:szCs w:val="24"/>
        </w:rPr>
      </w:pPr>
      <w:r>
        <w:rPr>
          <w:rFonts w:hint="eastAsia" w:ascii="宋体" w:hAnsi="宋体"/>
          <w:sz w:val="28"/>
          <w:szCs w:val="24"/>
        </w:rPr>
        <w:t>根据财政部《财政支出绩效评价管理暂行办法》和岳阳县人民政府办公室《关于贯彻落实省政府全面推进预算绩效管理意见的通知》文件精神，按照《岳阳县财政局关于全面开展</w:t>
      </w:r>
      <w:r>
        <w:rPr>
          <w:rFonts w:ascii="宋体" w:hAnsi="宋体"/>
          <w:sz w:val="28"/>
          <w:szCs w:val="24"/>
        </w:rPr>
        <w:t>2021</w:t>
      </w:r>
      <w:r>
        <w:rPr>
          <w:rFonts w:hint="eastAsia" w:ascii="宋体" w:hAnsi="宋体"/>
          <w:sz w:val="28"/>
          <w:szCs w:val="24"/>
        </w:rPr>
        <w:t>年财政绩效自评工作的通知》要求，为进一步规范财政资金管理，强化绩效和责任意识，切实提高财政资金使用效益，我单位对</w:t>
      </w:r>
      <w:r>
        <w:rPr>
          <w:rFonts w:ascii="宋体" w:hAnsi="宋体"/>
          <w:sz w:val="28"/>
          <w:szCs w:val="24"/>
        </w:rPr>
        <w:t>2021</w:t>
      </w:r>
      <w:r>
        <w:rPr>
          <w:rFonts w:hint="eastAsia" w:ascii="宋体" w:hAnsi="宋体"/>
          <w:sz w:val="28"/>
          <w:szCs w:val="24"/>
        </w:rPr>
        <w:t>年度部门整体支出绩效自评得分</w:t>
      </w:r>
      <w:r>
        <w:rPr>
          <w:rFonts w:ascii="宋体" w:hAnsi="宋体"/>
          <w:sz w:val="28"/>
          <w:szCs w:val="24"/>
        </w:rPr>
        <w:t>98</w:t>
      </w:r>
      <w:r>
        <w:rPr>
          <w:rFonts w:hint="eastAsia" w:ascii="宋体" w:hAnsi="宋体"/>
          <w:sz w:val="28"/>
          <w:szCs w:val="24"/>
        </w:rPr>
        <w:t>，评价等级为优。</w:t>
      </w:r>
    </w:p>
    <w:p>
      <w:pPr>
        <w:spacing w:line="360" w:lineRule="auto"/>
        <w:ind w:firstLine="560" w:firstLineChars="200"/>
        <w:rPr>
          <w:rFonts w:ascii="宋体" w:hAnsi="宋体"/>
          <w:sz w:val="28"/>
          <w:szCs w:val="24"/>
        </w:rPr>
      </w:pPr>
      <w:r>
        <w:rPr>
          <w:rFonts w:hint="eastAsia" w:ascii="宋体" w:hAnsi="宋体"/>
          <w:sz w:val="28"/>
          <w:szCs w:val="24"/>
        </w:rPr>
        <w:t>已按市财政局统一要求在我单位门户网站公开。</w:t>
      </w:r>
    </w:p>
    <w:p>
      <w:pPr>
        <w:spacing w:line="360" w:lineRule="auto"/>
        <w:ind w:firstLine="560" w:firstLineChars="200"/>
        <w:rPr>
          <w:rFonts w:ascii="宋体" w:hAnsi="宋体"/>
          <w:sz w:val="28"/>
          <w:szCs w:val="24"/>
        </w:rPr>
      </w:pPr>
    </w:p>
    <w:p>
      <w:pPr>
        <w:rPr>
          <w:rFonts w:ascii="宋体" w:hAnsi="宋体"/>
          <w:sz w:val="28"/>
          <w:szCs w:val="24"/>
        </w:rPr>
      </w:pPr>
    </w:p>
    <w:p>
      <w:pPr>
        <w:pStyle w:val="2"/>
        <w:ind w:firstLine="0" w:firstLineChars="0"/>
        <w:rPr>
          <w:rFonts w:ascii="宋体"/>
          <w:kern w:val="0"/>
          <w:sz w:val="28"/>
        </w:rPr>
      </w:pPr>
    </w:p>
    <w:p>
      <w:pPr>
        <w:pStyle w:val="2"/>
        <w:ind w:firstLine="0" w:firstLineChars="0"/>
        <w:rPr>
          <w:rFonts w:ascii="宋体"/>
          <w:kern w:val="0"/>
          <w:sz w:val="28"/>
        </w:rPr>
      </w:pPr>
    </w:p>
    <w:p>
      <w:pPr>
        <w:pStyle w:val="2"/>
        <w:ind w:firstLine="0" w:firstLineChars="0"/>
        <w:rPr>
          <w:rFonts w:ascii="宋体"/>
          <w:kern w:val="0"/>
          <w:sz w:val="28"/>
        </w:rPr>
      </w:pPr>
    </w:p>
    <w:p>
      <w:pPr>
        <w:pStyle w:val="2"/>
        <w:ind w:firstLine="0" w:firstLineChars="0"/>
        <w:rPr>
          <w:rFonts w:ascii="宋体"/>
          <w:kern w:val="0"/>
          <w:sz w:val="28"/>
        </w:rPr>
      </w:pPr>
    </w:p>
    <w:p>
      <w:pPr>
        <w:pStyle w:val="2"/>
        <w:ind w:firstLine="0" w:firstLineChars="0"/>
        <w:rPr>
          <w:rFonts w:ascii="宋体"/>
          <w:kern w:val="0"/>
          <w:sz w:val="28"/>
        </w:rPr>
      </w:pPr>
    </w:p>
    <w:p>
      <w:pPr>
        <w:pStyle w:val="2"/>
        <w:ind w:firstLine="0" w:firstLineChars="0"/>
        <w:rPr>
          <w:rFonts w:ascii="宋体"/>
          <w:kern w:val="0"/>
          <w:sz w:val="28"/>
        </w:rPr>
      </w:pPr>
    </w:p>
    <w:p>
      <w:pPr>
        <w:pStyle w:val="2"/>
        <w:ind w:firstLine="0" w:firstLineChars="0"/>
        <w:rPr>
          <w:rFonts w:ascii="宋体"/>
          <w:kern w:val="0"/>
          <w:sz w:val="28"/>
        </w:rPr>
      </w:pPr>
    </w:p>
    <w:p>
      <w:pPr>
        <w:pStyle w:val="2"/>
        <w:ind w:firstLine="420"/>
      </w:pPr>
    </w:p>
    <w:p>
      <w:pPr>
        <w:keepNext/>
        <w:keepLines/>
        <w:autoSpaceDE w:val="0"/>
        <w:autoSpaceDN w:val="0"/>
        <w:adjustRightInd w:val="0"/>
        <w:ind w:firstLine="2520" w:firstLineChars="700"/>
        <w:rPr>
          <w:rFonts w:ascii="黑体" w:eastAsia="黑体"/>
          <w:sz w:val="36"/>
          <w:szCs w:val="24"/>
        </w:rPr>
      </w:pPr>
      <w:r>
        <w:rPr>
          <w:rFonts w:hint="eastAsia" w:ascii="黑体" w:eastAsia="黑体"/>
          <w:sz w:val="36"/>
          <w:szCs w:val="24"/>
        </w:rPr>
        <w:t>第四部分名词解释</w:t>
      </w:r>
    </w:p>
    <w:p>
      <w:pPr>
        <w:widowControl/>
        <w:spacing w:line="600" w:lineRule="exact"/>
        <w:ind w:firstLine="560" w:firstLineChars="200"/>
        <w:jc w:val="left"/>
        <w:rPr>
          <w:kern w:val="0"/>
          <w:sz w:val="28"/>
          <w:szCs w:val="24"/>
        </w:rPr>
      </w:pPr>
      <w:r>
        <w:rPr>
          <w:rFonts w:hint="eastAsia" w:ascii="宋体" w:hAnsi="宋体"/>
          <w:kern w:val="0"/>
          <w:sz w:val="28"/>
          <w:szCs w:val="24"/>
        </w:rPr>
        <w:t>财政拨款收入：指本级财政当年拨付的资金。</w:t>
      </w:r>
    </w:p>
    <w:p>
      <w:pPr>
        <w:widowControl/>
        <w:spacing w:line="600" w:lineRule="exact"/>
        <w:ind w:firstLine="560" w:firstLineChars="200"/>
        <w:jc w:val="left"/>
        <w:rPr>
          <w:kern w:val="0"/>
          <w:sz w:val="28"/>
          <w:szCs w:val="24"/>
        </w:rPr>
      </w:pPr>
      <w:r>
        <w:rPr>
          <w:rFonts w:hint="eastAsia" w:ascii="宋体" w:hAnsi="宋体"/>
          <w:kern w:val="0"/>
          <w:sz w:val="28"/>
          <w:szCs w:val="24"/>
        </w:rPr>
        <w:t>其他收入：指除上述“财政拨款收入”、“上级补助收入”、“事业收入”、“经营收入”、“附属单位上缴收入”等以外的收入。</w:t>
      </w:r>
    </w:p>
    <w:p>
      <w:pPr>
        <w:widowControl/>
        <w:spacing w:line="600" w:lineRule="exact"/>
        <w:ind w:firstLine="560" w:firstLineChars="200"/>
        <w:jc w:val="left"/>
        <w:rPr>
          <w:kern w:val="0"/>
          <w:sz w:val="28"/>
          <w:szCs w:val="24"/>
        </w:rPr>
      </w:pPr>
      <w:r>
        <w:rPr>
          <w:rFonts w:hint="eastAsia" w:ascii="宋体" w:hAnsi="宋体"/>
          <w:kern w:val="0"/>
          <w:sz w:val="28"/>
          <w:szCs w:val="24"/>
        </w:rPr>
        <w:t>上年结转和结余：指以前年度尚未完成、结转到本年按有关规定继续使用的资金。</w:t>
      </w:r>
    </w:p>
    <w:p>
      <w:pPr>
        <w:widowControl/>
        <w:spacing w:line="600" w:lineRule="exact"/>
        <w:ind w:firstLine="560" w:firstLineChars="200"/>
        <w:jc w:val="left"/>
        <w:rPr>
          <w:kern w:val="0"/>
          <w:sz w:val="28"/>
          <w:szCs w:val="24"/>
        </w:rPr>
      </w:pPr>
      <w:r>
        <w:rPr>
          <w:rFonts w:hint="eastAsia" w:ascii="宋体" w:hAnsi="宋体"/>
          <w:kern w:val="0"/>
          <w:sz w:val="28"/>
          <w:szCs w:val="24"/>
        </w:rPr>
        <w:t>年末结转和结余资金：指本年度或以前年度预算安排、因客观条件发生变化无法按原计划实施，需要延迟到以后年度按有关规定继续使用的资金。</w:t>
      </w:r>
    </w:p>
    <w:p>
      <w:pPr>
        <w:widowControl/>
        <w:spacing w:line="600" w:lineRule="exact"/>
        <w:ind w:firstLine="560" w:firstLineChars="200"/>
        <w:jc w:val="left"/>
        <w:rPr>
          <w:kern w:val="0"/>
          <w:sz w:val="28"/>
          <w:szCs w:val="24"/>
        </w:rPr>
      </w:pPr>
      <w:r>
        <w:rPr>
          <w:rFonts w:hint="eastAsia" w:ascii="宋体" w:hAnsi="宋体"/>
          <w:kern w:val="0"/>
          <w:sz w:val="28"/>
          <w:szCs w:val="24"/>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等</w:t>
      </w:r>
    </w:p>
    <w:p>
      <w:pPr>
        <w:widowControl/>
        <w:spacing w:line="600" w:lineRule="exact"/>
        <w:ind w:firstLine="560" w:firstLineChars="200"/>
        <w:jc w:val="left"/>
        <w:rPr>
          <w:kern w:val="0"/>
          <w:sz w:val="28"/>
          <w:szCs w:val="24"/>
        </w:rPr>
      </w:pPr>
      <w:r>
        <w:rPr>
          <w:rFonts w:hint="eastAsia" w:ascii="宋体" w:hAnsi="宋体"/>
          <w:kern w:val="0"/>
          <w:sz w:val="28"/>
          <w:szCs w:val="24"/>
        </w:rPr>
        <w:t>农林水支出（类）：是指用于农林水事务支出，包括保障机构正常运转、完成日常和特定的工作任务或事业发展目标的支出。</w:t>
      </w:r>
    </w:p>
    <w:p>
      <w:pPr>
        <w:widowControl/>
        <w:spacing w:line="600" w:lineRule="exact"/>
        <w:ind w:firstLine="560" w:firstLineChars="200"/>
        <w:jc w:val="left"/>
        <w:rPr>
          <w:kern w:val="0"/>
          <w:sz w:val="28"/>
          <w:szCs w:val="24"/>
        </w:rPr>
      </w:pPr>
      <w:r>
        <w:rPr>
          <w:rFonts w:hint="eastAsia" w:ascii="宋体" w:hAnsi="宋体"/>
          <w:kern w:val="0"/>
          <w:sz w:val="28"/>
          <w:szCs w:val="24"/>
        </w:rPr>
        <w:t>基本支出：指保障机构正常运转、完成支日常工作任务而发生的人员支出和公用支出。</w:t>
      </w:r>
    </w:p>
    <w:p>
      <w:pPr>
        <w:widowControl/>
        <w:spacing w:line="600" w:lineRule="exact"/>
        <w:ind w:firstLine="560" w:firstLineChars="200"/>
        <w:jc w:val="left"/>
        <w:rPr>
          <w:kern w:val="0"/>
          <w:sz w:val="28"/>
          <w:szCs w:val="24"/>
        </w:rPr>
      </w:pPr>
      <w:r>
        <w:rPr>
          <w:rFonts w:hint="eastAsia" w:ascii="宋体" w:hAnsi="宋体"/>
          <w:kern w:val="0"/>
          <w:sz w:val="28"/>
          <w:szCs w:val="24"/>
        </w:rPr>
        <w:t>项目支出：指在基本支出之外为完成特定行政任务和事业发展目标所发生的支出。</w:t>
      </w:r>
    </w:p>
    <w:p>
      <w:pPr>
        <w:widowControl/>
        <w:spacing w:line="600" w:lineRule="exact"/>
        <w:ind w:firstLine="560" w:firstLineChars="200"/>
        <w:jc w:val="left"/>
        <w:rPr>
          <w:kern w:val="0"/>
          <w:sz w:val="28"/>
          <w:szCs w:val="24"/>
        </w:rPr>
      </w:pPr>
      <w:r>
        <w:rPr>
          <w:rFonts w:hint="eastAsia" w:ascii="宋体" w:hAnsi="宋体"/>
          <w:kern w:val="0"/>
          <w:sz w:val="28"/>
          <w:szCs w:val="24"/>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等</w:t>
      </w:r>
    </w:p>
    <w:p>
      <w:pPr>
        <w:widowControl/>
        <w:spacing w:line="600" w:lineRule="exact"/>
        <w:ind w:firstLine="560" w:firstLineChars="200"/>
        <w:jc w:val="left"/>
        <w:rPr>
          <w:kern w:val="0"/>
          <w:sz w:val="28"/>
          <w:szCs w:val="24"/>
        </w:rPr>
      </w:pPr>
      <w:r>
        <w:rPr>
          <w:rFonts w:hint="eastAsia" w:ascii="宋体" w:hAnsi="宋体"/>
          <w:kern w:val="0"/>
          <w:sz w:val="28"/>
          <w:szCs w:val="24"/>
        </w:rPr>
        <w:t>政府采购：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widowControl/>
        <w:spacing w:line="600" w:lineRule="exact"/>
        <w:ind w:firstLine="560" w:firstLineChars="200"/>
        <w:jc w:val="left"/>
        <w:rPr>
          <w:kern w:val="0"/>
          <w:sz w:val="28"/>
          <w:szCs w:val="24"/>
        </w:rPr>
      </w:pPr>
      <w:r>
        <w:rPr>
          <w:rFonts w:hint="eastAsia" w:ascii="宋体" w:hAnsi="宋体"/>
          <w:kern w:val="0"/>
          <w:sz w:val="28"/>
          <w:szCs w:val="24"/>
        </w:rPr>
        <w:t>工资福利支出：反映单位开支的在职职工和编制外长期聘用人员的各类劳动报酬，以及为上述人员缴纳的各项社会保险费等。</w:t>
      </w:r>
    </w:p>
    <w:p>
      <w:pPr>
        <w:widowControl/>
        <w:spacing w:line="600" w:lineRule="exact"/>
        <w:ind w:firstLine="560" w:firstLineChars="200"/>
        <w:jc w:val="left"/>
        <w:rPr>
          <w:kern w:val="0"/>
          <w:sz w:val="28"/>
          <w:szCs w:val="24"/>
        </w:rPr>
      </w:pPr>
      <w:r>
        <w:rPr>
          <w:rFonts w:hint="eastAsia" w:ascii="宋体" w:hAnsi="宋体"/>
          <w:kern w:val="0"/>
          <w:sz w:val="28"/>
          <w:szCs w:val="24"/>
        </w:rPr>
        <w:t>基本工资：反映按规定发放的基本工资，包括公务员的职务工资、级别工资；机关工人的岗位工资、技术等级工资；事业单位工作人员的岗位工资、薪级工资；各类学校毕业生试用期</w:t>
      </w:r>
      <w:r>
        <w:rPr>
          <w:rFonts w:ascii="宋体" w:hAnsi="宋体"/>
          <w:kern w:val="0"/>
          <w:sz w:val="28"/>
          <w:szCs w:val="24"/>
        </w:rPr>
        <w:t>(</w:t>
      </w:r>
      <w:r>
        <w:rPr>
          <w:rFonts w:hint="eastAsia" w:ascii="宋体" w:hAnsi="宋体"/>
          <w:kern w:val="0"/>
          <w:sz w:val="28"/>
          <w:szCs w:val="24"/>
        </w:rPr>
        <w:t>见习期</w:t>
      </w:r>
      <w:r>
        <w:rPr>
          <w:rFonts w:ascii="宋体" w:hAnsi="宋体"/>
          <w:kern w:val="0"/>
          <w:sz w:val="28"/>
          <w:szCs w:val="24"/>
        </w:rPr>
        <w:t>)</w:t>
      </w:r>
      <w:r>
        <w:rPr>
          <w:rFonts w:hint="eastAsia" w:ascii="宋体" w:hAnsi="宋体"/>
          <w:kern w:val="0"/>
          <w:sz w:val="28"/>
          <w:szCs w:val="24"/>
        </w:rPr>
        <w:t>工资、新参加工作工人学徒期、熟练期工资；军队（武警）军官、文职干部的职务（专业技术等级</w:t>
      </w:r>
    </w:p>
    <w:p>
      <w:pPr>
        <w:widowControl/>
        <w:spacing w:line="600" w:lineRule="exact"/>
        <w:ind w:firstLine="560" w:firstLineChars="200"/>
        <w:jc w:val="left"/>
        <w:rPr>
          <w:kern w:val="0"/>
          <w:sz w:val="28"/>
          <w:szCs w:val="24"/>
        </w:rPr>
      </w:pPr>
      <w:r>
        <w:rPr>
          <w:rFonts w:hint="eastAsia" w:ascii="宋体" w:hAnsi="宋体"/>
          <w:kern w:val="0"/>
          <w:sz w:val="28"/>
          <w:szCs w:val="24"/>
        </w:rPr>
        <w:t>津贴补贴：反映经国家批准建立的机关事业单位艰苦边远地区津贴、机关工作人员地区附加津贴、机关工作人员岗位津贴、事业单位工作人员特殊岗位津贴补贴等。</w:t>
      </w:r>
    </w:p>
    <w:p>
      <w:pPr>
        <w:widowControl/>
        <w:spacing w:line="600" w:lineRule="exact"/>
        <w:ind w:firstLine="560" w:firstLineChars="200"/>
        <w:jc w:val="left"/>
        <w:rPr>
          <w:kern w:val="0"/>
          <w:sz w:val="28"/>
          <w:szCs w:val="24"/>
        </w:rPr>
      </w:pPr>
      <w:r>
        <w:rPr>
          <w:rFonts w:hint="eastAsia" w:ascii="宋体" w:hAnsi="宋体"/>
          <w:kern w:val="0"/>
          <w:sz w:val="28"/>
          <w:szCs w:val="24"/>
        </w:rPr>
        <w:t>奖金：反映机关工作人员年终一次性奖金。</w:t>
      </w:r>
    </w:p>
    <w:p>
      <w:pPr>
        <w:widowControl/>
        <w:spacing w:line="600" w:lineRule="exact"/>
        <w:ind w:firstLine="560" w:firstLineChars="200"/>
        <w:jc w:val="left"/>
        <w:rPr>
          <w:kern w:val="0"/>
          <w:sz w:val="28"/>
          <w:szCs w:val="24"/>
        </w:rPr>
      </w:pPr>
      <w:r>
        <w:rPr>
          <w:rFonts w:hint="eastAsia" w:ascii="宋体" w:hAnsi="宋体"/>
          <w:kern w:val="0"/>
          <w:sz w:val="28"/>
          <w:szCs w:val="24"/>
        </w:rPr>
        <w:t>机关事业单位基本养老保险缴费：反映机关事业单位缴纳的基本养老保险费。由单位代扣的工作人员基本养老保险缴费，不在此科目反映。</w:t>
      </w:r>
    </w:p>
    <w:p>
      <w:pPr>
        <w:widowControl/>
        <w:spacing w:line="600" w:lineRule="exact"/>
        <w:ind w:firstLine="560" w:firstLineChars="200"/>
        <w:jc w:val="left"/>
        <w:rPr>
          <w:kern w:val="0"/>
          <w:sz w:val="28"/>
          <w:szCs w:val="24"/>
        </w:rPr>
      </w:pPr>
      <w:r>
        <w:rPr>
          <w:rFonts w:hint="eastAsia" w:ascii="宋体" w:hAnsi="宋体"/>
          <w:kern w:val="0"/>
          <w:sz w:val="28"/>
          <w:szCs w:val="24"/>
        </w:rPr>
        <w:t>职工基本医疗保险缴费：反映单位为职工缴纳的基本医疗保险费。</w:t>
      </w:r>
    </w:p>
    <w:p>
      <w:pPr>
        <w:widowControl/>
        <w:spacing w:line="600" w:lineRule="exact"/>
        <w:ind w:firstLine="560" w:firstLineChars="200"/>
        <w:jc w:val="left"/>
        <w:rPr>
          <w:kern w:val="0"/>
          <w:sz w:val="28"/>
          <w:szCs w:val="24"/>
        </w:rPr>
      </w:pPr>
      <w:r>
        <w:rPr>
          <w:rFonts w:hint="eastAsia" w:ascii="宋体" w:hAnsi="宋体"/>
          <w:kern w:val="0"/>
          <w:sz w:val="28"/>
          <w:szCs w:val="24"/>
        </w:rPr>
        <w:t>公务员医疗补助缴费：反映按规定可享受公务员医疗补助单位为职工缴纳的公务员医疗补助费。</w:t>
      </w:r>
    </w:p>
    <w:p>
      <w:pPr>
        <w:widowControl/>
        <w:spacing w:line="600" w:lineRule="exact"/>
        <w:ind w:firstLine="560" w:firstLineChars="200"/>
        <w:jc w:val="left"/>
        <w:rPr>
          <w:kern w:val="0"/>
          <w:sz w:val="28"/>
          <w:szCs w:val="24"/>
        </w:rPr>
      </w:pPr>
      <w:r>
        <w:rPr>
          <w:rFonts w:hint="eastAsia" w:ascii="宋体" w:hAnsi="宋体"/>
          <w:kern w:val="0"/>
          <w:sz w:val="28"/>
          <w:szCs w:val="24"/>
        </w:rPr>
        <w:t>其他社会保障缴费：反映单位为职工缴纳的基本医疗、失业、工伤、生育等社会保险费，残疾人就业保障金，军队（含武警）为军人缴纳的伤亡、退役医疗等社会保险费。</w:t>
      </w:r>
    </w:p>
    <w:p>
      <w:pPr>
        <w:widowControl/>
        <w:spacing w:line="600" w:lineRule="exact"/>
        <w:ind w:firstLine="560" w:firstLineChars="200"/>
        <w:jc w:val="left"/>
        <w:rPr>
          <w:kern w:val="0"/>
          <w:sz w:val="28"/>
          <w:szCs w:val="24"/>
        </w:rPr>
      </w:pPr>
      <w:r>
        <w:rPr>
          <w:rFonts w:hint="eastAsia" w:ascii="宋体" w:hAnsi="宋体"/>
          <w:kern w:val="0"/>
          <w:sz w:val="28"/>
          <w:szCs w:val="24"/>
        </w:rPr>
        <w:t>住房公积金：反映行政事业单位按人力资源和社会保障部、财政部规定的基本工资和津贴补贴以及规定比例为职工缴纳的住房公积金。</w:t>
      </w:r>
    </w:p>
    <w:p>
      <w:pPr>
        <w:widowControl/>
        <w:spacing w:line="600" w:lineRule="exact"/>
        <w:ind w:firstLine="560" w:firstLineChars="200"/>
        <w:jc w:val="left"/>
        <w:rPr>
          <w:kern w:val="0"/>
          <w:sz w:val="28"/>
          <w:szCs w:val="24"/>
        </w:rPr>
      </w:pPr>
      <w:r>
        <w:rPr>
          <w:rFonts w:hint="eastAsia" w:ascii="宋体" w:hAnsi="宋体"/>
          <w:kern w:val="0"/>
          <w:sz w:val="28"/>
          <w:szCs w:val="24"/>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widowControl/>
        <w:spacing w:line="600" w:lineRule="exact"/>
        <w:ind w:firstLine="560" w:firstLineChars="200"/>
        <w:jc w:val="left"/>
        <w:rPr>
          <w:kern w:val="0"/>
          <w:sz w:val="28"/>
          <w:szCs w:val="24"/>
        </w:rPr>
      </w:pPr>
      <w:r>
        <w:rPr>
          <w:rFonts w:hint="eastAsia" w:ascii="宋体" w:hAnsi="宋体"/>
          <w:kern w:val="0"/>
          <w:sz w:val="28"/>
          <w:szCs w:val="24"/>
        </w:rPr>
        <w:t>商品和服务支出：反映单位购买商品和服务的支出（不包括用于购置固定资产的支出、战略性和应急储备支出）。</w:t>
      </w:r>
    </w:p>
    <w:p>
      <w:pPr>
        <w:widowControl/>
        <w:spacing w:line="600" w:lineRule="exact"/>
        <w:ind w:firstLine="560" w:firstLineChars="200"/>
        <w:jc w:val="left"/>
        <w:rPr>
          <w:kern w:val="0"/>
          <w:sz w:val="28"/>
          <w:szCs w:val="24"/>
        </w:rPr>
      </w:pPr>
      <w:r>
        <w:rPr>
          <w:rFonts w:hint="eastAsia" w:ascii="宋体" w:hAnsi="宋体"/>
          <w:kern w:val="0"/>
          <w:sz w:val="28"/>
          <w:szCs w:val="24"/>
        </w:rPr>
        <w:t>办公费：反映单位购买按财务会计制度规定不符合固定资产确认标准的日常办公用品、书报杂志等支出。</w:t>
      </w:r>
    </w:p>
    <w:p>
      <w:pPr>
        <w:widowControl/>
        <w:spacing w:line="600" w:lineRule="exact"/>
        <w:ind w:firstLine="560" w:firstLineChars="200"/>
        <w:jc w:val="left"/>
        <w:rPr>
          <w:kern w:val="0"/>
          <w:sz w:val="28"/>
          <w:szCs w:val="24"/>
        </w:rPr>
      </w:pPr>
      <w:r>
        <w:rPr>
          <w:rFonts w:hint="eastAsia" w:ascii="宋体" w:hAnsi="宋体"/>
          <w:kern w:val="0"/>
          <w:sz w:val="28"/>
          <w:szCs w:val="24"/>
        </w:rPr>
        <w:t>印刷费：反映单位的印刷费支出。</w:t>
      </w:r>
    </w:p>
    <w:p>
      <w:pPr>
        <w:widowControl/>
        <w:spacing w:line="600" w:lineRule="exact"/>
        <w:ind w:firstLine="560" w:firstLineChars="200"/>
        <w:jc w:val="left"/>
        <w:rPr>
          <w:kern w:val="0"/>
          <w:sz w:val="28"/>
          <w:szCs w:val="24"/>
        </w:rPr>
      </w:pPr>
      <w:r>
        <w:rPr>
          <w:rFonts w:hint="eastAsia" w:ascii="宋体" w:hAnsi="宋体"/>
          <w:kern w:val="0"/>
          <w:sz w:val="28"/>
          <w:szCs w:val="24"/>
        </w:rPr>
        <w:t>咨询费：反映单位咨询方面的支出。</w:t>
      </w:r>
    </w:p>
    <w:p>
      <w:pPr>
        <w:widowControl/>
        <w:spacing w:line="600" w:lineRule="exact"/>
        <w:ind w:firstLine="560" w:firstLineChars="200"/>
        <w:jc w:val="left"/>
        <w:rPr>
          <w:kern w:val="0"/>
          <w:sz w:val="28"/>
          <w:szCs w:val="24"/>
        </w:rPr>
      </w:pPr>
      <w:r>
        <w:rPr>
          <w:rFonts w:hint="eastAsia" w:ascii="宋体" w:hAnsi="宋体"/>
          <w:kern w:val="0"/>
          <w:sz w:val="28"/>
          <w:szCs w:val="24"/>
        </w:rPr>
        <w:t>水费：反映单位支付的水费、污水处理费等支出。</w:t>
      </w:r>
    </w:p>
    <w:p>
      <w:pPr>
        <w:widowControl/>
        <w:spacing w:line="600" w:lineRule="exact"/>
        <w:ind w:firstLine="560" w:firstLineChars="200"/>
        <w:jc w:val="left"/>
        <w:rPr>
          <w:kern w:val="0"/>
          <w:sz w:val="28"/>
          <w:szCs w:val="24"/>
        </w:rPr>
      </w:pPr>
      <w:r>
        <w:rPr>
          <w:rFonts w:hint="eastAsia" w:ascii="宋体" w:hAnsi="宋体"/>
          <w:kern w:val="0"/>
          <w:sz w:val="28"/>
          <w:szCs w:val="24"/>
        </w:rPr>
        <w:t>电费：反映单位的电费支出。</w:t>
      </w:r>
    </w:p>
    <w:p>
      <w:pPr>
        <w:widowControl/>
        <w:spacing w:line="600" w:lineRule="exact"/>
        <w:ind w:firstLine="560" w:firstLineChars="200"/>
        <w:jc w:val="left"/>
        <w:rPr>
          <w:kern w:val="0"/>
          <w:sz w:val="28"/>
          <w:szCs w:val="24"/>
        </w:rPr>
      </w:pPr>
      <w:r>
        <w:rPr>
          <w:rFonts w:hint="eastAsia" w:ascii="宋体" w:hAnsi="宋体"/>
          <w:kern w:val="0"/>
          <w:sz w:val="28"/>
          <w:szCs w:val="24"/>
        </w:rPr>
        <w:t>邮电费：反映单位开支的信函、包裹、货物等物品的邮寄费及电话费、电报费、传真费、网络通讯费等。</w:t>
      </w:r>
    </w:p>
    <w:p>
      <w:pPr>
        <w:widowControl/>
        <w:spacing w:line="600" w:lineRule="exact"/>
        <w:ind w:firstLine="560" w:firstLineChars="200"/>
        <w:jc w:val="left"/>
        <w:rPr>
          <w:kern w:val="0"/>
          <w:sz w:val="28"/>
          <w:szCs w:val="24"/>
        </w:rPr>
      </w:pPr>
      <w:r>
        <w:rPr>
          <w:rFonts w:hint="eastAsia" w:ascii="宋体" w:hAnsi="宋体"/>
          <w:kern w:val="0"/>
          <w:sz w:val="28"/>
          <w:szCs w:val="24"/>
        </w:rPr>
        <w:t>物业管理费：反映单位开支的办公用房以及未实行职工住宅物业服务改革的在职职工和离退休人员宿舍等的物业管理费，包括综合治理、绿化、卫生等方面的支出。</w:t>
      </w:r>
    </w:p>
    <w:p>
      <w:pPr>
        <w:widowControl/>
        <w:spacing w:line="600" w:lineRule="exact"/>
        <w:ind w:firstLine="560" w:firstLineChars="200"/>
        <w:jc w:val="left"/>
        <w:rPr>
          <w:kern w:val="0"/>
          <w:sz w:val="28"/>
          <w:szCs w:val="24"/>
        </w:rPr>
      </w:pPr>
      <w:r>
        <w:rPr>
          <w:rFonts w:hint="eastAsia" w:ascii="宋体" w:hAnsi="宋体"/>
          <w:kern w:val="0"/>
          <w:sz w:val="28"/>
          <w:szCs w:val="24"/>
        </w:rPr>
        <w:t>差旅费：反映单位工作人员出差发生的城市间交通费、住宿费、伙食补贴费和市内交通费。</w:t>
      </w:r>
    </w:p>
    <w:p>
      <w:pPr>
        <w:widowControl/>
        <w:spacing w:line="600" w:lineRule="exact"/>
        <w:ind w:firstLine="560" w:firstLineChars="200"/>
        <w:jc w:val="left"/>
        <w:rPr>
          <w:kern w:val="0"/>
          <w:sz w:val="28"/>
          <w:szCs w:val="24"/>
        </w:rPr>
      </w:pPr>
      <w:r>
        <w:rPr>
          <w:rFonts w:hint="eastAsia" w:ascii="宋体" w:hAnsi="宋体"/>
          <w:kern w:val="0"/>
          <w:sz w:val="28"/>
          <w:szCs w:val="24"/>
        </w:rPr>
        <w:t>维修</w:t>
      </w:r>
      <w:r>
        <w:rPr>
          <w:rFonts w:ascii="宋体" w:hAnsi="宋体"/>
          <w:kern w:val="0"/>
          <w:sz w:val="28"/>
          <w:szCs w:val="24"/>
        </w:rPr>
        <w:t>(</w:t>
      </w:r>
      <w:r>
        <w:rPr>
          <w:rFonts w:hint="eastAsia" w:ascii="宋体" w:hAnsi="宋体"/>
          <w:kern w:val="0"/>
          <w:sz w:val="28"/>
          <w:szCs w:val="24"/>
        </w:rPr>
        <w:t>护</w:t>
      </w:r>
      <w:r>
        <w:rPr>
          <w:rFonts w:ascii="宋体" w:hAnsi="宋体"/>
          <w:kern w:val="0"/>
          <w:sz w:val="28"/>
          <w:szCs w:val="24"/>
        </w:rPr>
        <w:t>)</w:t>
      </w:r>
      <w:r>
        <w:rPr>
          <w:rFonts w:hint="eastAsia" w:ascii="宋体" w:hAnsi="宋体"/>
          <w:kern w:val="0"/>
          <w:sz w:val="28"/>
          <w:szCs w:val="24"/>
        </w:rPr>
        <w:t>费：反映单位日常开支的固定资产（不包括车船等交通工具）修理和维护费用，网络信息系统运行与维护费用，以及按规定提取的修购基金。</w:t>
      </w:r>
    </w:p>
    <w:p>
      <w:pPr>
        <w:widowControl/>
        <w:spacing w:line="600" w:lineRule="exact"/>
        <w:ind w:firstLine="560" w:firstLineChars="200"/>
        <w:jc w:val="left"/>
        <w:rPr>
          <w:kern w:val="0"/>
          <w:sz w:val="28"/>
          <w:szCs w:val="24"/>
        </w:rPr>
      </w:pPr>
      <w:r>
        <w:rPr>
          <w:rFonts w:hint="eastAsia" w:ascii="宋体" w:hAnsi="宋体"/>
          <w:kern w:val="0"/>
          <w:sz w:val="28"/>
          <w:szCs w:val="24"/>
        </w:rPr>
        <w:t>租赁费：反映租赁办公用房、宿舍、专用通讯网以及其他设备等方面的费用。</w:t>
      </w:r>
    </w:p>
    <w:p>
      <w:pPr>
        <w:widowControl/>
        <w:spacing w:line="600" w:lineRule="exact"/>
        <w:ind w:firstLine="560" w:firstLineChars="200"/>
        <w:jc w:val="left"/>
        <w:rPr>
          <w:kern w:val="0"/>
          <w:sz w:val="28"/>
          <w:szCs w:val="24"/>
        </w:rPr>
      </w:pPr>
      <w:r>
        <w:rPr>
          <w:rFonts w:hint="eastAsia" w:ascii="宋体" w:hAnsi="宋体"/>
          <w:kern w:val="0"/>
          <w:sz w:val="28"/>
          <w:szCs w:val="24"/>
        </w:rPr>
        <w:t>会议费：反映会议中按规定开支的住宿费、伙食费、会议室租金、交通费、文件印刷费、医药费等。</w:t>
      </w:r>
    </w:p>
    <w:p>
      <w:pPr>
        <w:widowControl/>
        <w:spacing w:line="600" w:lineRule="exact"/>
        <w:ind w:firstLine="560" w:firstLineChars="200"/>
        <w:jc w:val="left"/>
        <w:rPr>
          <w:kern w:val="0"/>
          <w:sz w:val="28"/>
          <w:szCs w:val="24"/>
        </w:rPr>
      </w:pPr>
      <w:r>
        <w:rPr>
          <w:rFonts w:hint="eastAsia" w:ascii="宋体" w:hAnsi="宋体"/>
          <w:kern w:val="0"/>
          <w:sz w:val="28"/>
          <w:szCs w:val="24"/>
        </w:rPr>
        <w:t>培训费：反映除因公出国（境）培训费以外的各类培训支出。</w:t>
      </w:r>
    </w:p>
    <w:p>
      <w:pPr>
        <w:widowControl/>
        <w:spacing w:line="600" w:lineRule="exact"/>
        <w:ind w:firstLine="560" w:firstLineChars="200"/>
        <w:jc w:val="left"/>
        <w:rPr>
          <w:kern w:val="0"/>
          <w:sz w:val="28"/>
          <w:szCs w:val="24"/>
        </w:rPr>
      </w:pPr>
      <w:r>
        <w:rPr>
          <w:rFonts w:hint="eastAsia" w:ascii="宋体" w:hAnsi="宋体"/>
          <w:kern w:val="0"/>
          <w:sz w:val="28"/>
          <w:szCs w:val="24"/>
        </w:rPr>
        <w:t>公务接待费：反映单位按规定开支的各类公务接待（含外宾接待）费用。</w:t>
      </w:r>
    </w:p>
    <w:p>
      <w:pPr>
        <w:widowControl/>
        <w:spacing w:line="600" w:lineRule="exact"/>
        <w:ind w:firstLine="560" w:firstLineChars="200"/>
        <w:jc w:val="left"/>
        <w:rPr>
          <w:kern w:val="0"/>
          <w:sz w:val="28"/>
          <w:szCs w:val="24"/>
        </w:rPr>
      </w:pPr>
      <w:r>
        <w:rPr>
          <w:rFonts w:hint="eastAsia" w:ascii="宋体" w:hAnsi="宋体"/>
          <w:kern w:val="0"/>
          <w:sz w:val="28"/>
          <w:szCs w:val="24"/>
        </w:rPr>
        <w:t>劳务费：反映支付给单位和个人的劳务费用，如临时聘用人员、钟点工工资，稿费、翻译费，评审费等。</w:t>
      </w:r>
    </w:p>
    <w:p>
      <w:pPr>
        <w:widowControl/>
        <w:spacing w:line="600" w:lineRule="exact"/>
        <w:ind w:firstLine="560" w:firstLineChars="200"/>
        <w:jc w:val="left"/>
        <w:rPr>
          <w:kern w:val="0"/>
          <w:sz w:val="28"/>
          <w:szCs w:val="24"/>
        </w:rPr>
      </w:pPr>
      <w:r>
        <w:rPr>
          <w:rFonts w:hint="eastAsia" w:ascii="宋体" w:hAnsi="宋体"/>
          <w:kern w:val="0"/>
          <w:sz w:val="28"/>
          <w:szCs w:val="24"/>
        </w:rPr>
        <w:t>工会经费：反映单位按规定提取的工会经费。</w:t>
      </w:r>
    </w:p>
    <w:p>
      <w:pPr>
        <w:widowControl/>
        <w:spacing w:line="600" w:lineRule="exact"/>
        <w:ind w:firstLine="560" w:firstLineChars="200"/>
        <w:jc w:val="left"/>
        <w:rPr>
          <w:kern w:val="0"/>
          <w:sz w:val="28"/>
          <w:szCs w:val="24"/>
        </w:rPr>
      </w:pPr>
      <w:r>
        <w:rPr>
          <w:rFonts w:hint="eastAsia" w:ascii="宋体" w:hAnsi="宋体"/>
          <w:kern w:val="0"/>
          <w:sz w:val="28"/>
          <w:szCs w:val="24"/>
        </w:rPr>
        <w:t>其他交通费用：反映单位除公务用车运行维护费以外的其他交通费用。如公务交通补贴，租车费用、出租车费用，飞机、船舶等的燃料费、维修费、保险费等。</w:t>
      </w:r>
    </w:p>
    <w:p>
      <w:pPr>
        <w:widowControl/>
        <w:spacing w:line="600" w:lineRule="exact"/>
        <w:ind w:firstLine="560" w:firstLineChars="200"/>
        <w:jc w:val="left"/>
        <w:rPr>
          <w:kern w:val="0"/>
          <w:sz w:val="28"/>
          <w:szCs w:val="24"/>
        </w:rPr>
      </w:pPr>
      <w:r>
        <w:rPr>
          <w:rFonts w:hint="eastAsia" w:ascii="宋体" w:hAnsi="宋体"/>
          <w:kern w:val="0"/>
          <w:sz w:val="28"/>
          <w:szCs w:val="24"/>
        </w:rPr>
        <w:t>税金及附加费用：反映单位提供劳务或销售产品应负担的税金及附加费用，包括营业税、消费税、城市维护建设税、资源税和教育附加等。</w:t>
      </w:r>
    </w:p>
    <w:p>
      <w:pPr>
        <w:widowControl/>
        <w:spacing w:line="600" w:lineRule="exact"/>
        <w:ind w:firstLine="560" w:firstLineChars="200"/>
        <w:jc w:val="left"/>
        <w:rPr>
          <w:kern w:val="0"/>
          <w:sz w:val="28"/>
          <w:szCs w:val="24"/>
        </w:rPr>
      </w:pPr>
      <w:r>
        <w:rPr>
          <w:rFonts w:hint="eastAsia" w:ascii="宋体" w:hAnsi="宋体"/>
          <w:kern w:val="0"/>
          <w:sz w:val="28"/>
          <w:szCs w:val="24"/>
        </w:rPr>
        <w:t>其他商品和服务支出：反映上述科目未包括的日常公用支出。如行政赔偿费和诉讼费、国内组织的会员费、来访费、广告宣传、其他劳务费及离休人员特需费、公用经费等。</w:t>
      </w:r>
    </w:p>
    <w:p>
      <w:pPr>
        <w:widowControl/>
        <w:spacing w:line="600" w:lineRule="exact"/>
        <w:ind w:firstLine="560" w:firstLineChars="200"/>
        <w:jc w:val="left"/>
        <w:rPr>
          <w:kern w:val="0"/>
          <w:sz w:val="28"/>
          <w:szCs w:val="24"/>
        </w:rPr>
      </w:pPr>
      <w:r>
        <w:rPr>
          <w:rFonts w:hint="eastAsia" w:ascii="宋体" w:hAnsi="宋体"/>
          <w:kern w:val="0"/>
          <w:sz w:val="28"/>
          <w:szCs w:val="24"/>
        </w:rPr>
        <w:t>对个人和家庭的补助：反映政府用于对个人和家庭的补助支出。</w:t>
      </w:r>
    </w:p>
    <w:p>
      <w:pPr>
        <w:widowControl/>
        <w:spacing w:line="600" w:lineRule="exact"/>
        <w:ind w:firstLine="560" w:firstLineChars="200"/>
        <w:jc w:val="left"/>
        <w:rPr>
          <w:kern w:val="0"/>
          <w:sz w:val="28"/>
          <w:szCs w:val="24"/>
        </w:rPr>
      </w:pPr>
      <w:r>
        <w:rPr>
          <w:rFonts w:hint="eastAsia" w:ascii="宋体" w:hAnsi="宋体"/>
          <w:kern w:val="0"/>
          <w:sz w:val="28"/>
          <w:szCs w:val="24"/>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的补助等</w:t>
      </w:r>
    </w:p>
    <w:p>
      <w:pPr>
        <w:widowControl/>
        <w:spacing w:line="600" w:lineRule="exact"/>
        <w:ind w:firstLine="560" w:firstLineChars="200"/>
        <w:jc w:val="left"/>
        <w:rPr>
          <w:kern w:val="0"/>
          <w:sz w:val="28"/>
          <w:szCs w:val="24"/>
        </w:rPr>
      </w:pPr>
      <w:r>
        <w:rPr>
          <w:rFonts w:hint="eastAsia" w:ascii="宋体" w:hAnsi="宋体"/>
          <w:kern w:val="0"/>
          <w:sz w:val="28"/>
          <w:szCs w:val="24"/>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pPr>
        <w:widowControl/>
        <w:spacing w:line="600" w:lineRule="exact"/>
        <w:ind w:firstLine="560" w:firstLineChars="200"/>
        <w:jc w:val="left"/>
        <w:rPr>
          <w:kern w:val="0"/>
          <w:sz w:val="28"/>
          <w:szCs w:val="24"/>
        </w:rPr>
      </w:pPr>
      <w:r>
        <w:rPr>
          <w:rFonts w:hint="eastAsia" w:ascii="宋体" w:hAnsi="宋体"/>
          <w:kern w:val="0"/>
          <w:sz w:val="28"/>
          <w:szCs w:val="24"/>
        </w:rPr>
        <w:t>奖励金：反映政府各部门的奖励支出，如对个体私营经济的奖励、计划生育目标责任奖励、独生子女父母奖励等。</w:t>
      </w:r>
    </w:p>
    <w:p>
      <w:pPr>
        <w:widowControl/>
        <w:spacing w:line="600" w:lineRule="exact"/>
        <w:ind w:firstLine="560" w:firstLineChars="200"/>
        <w:jc w:val="left"/>
        <w:rPr>
          <w:kern w:val="0"/>
          <w:sz w:val="28"/>
          <w:szCs w:val="24"/>
        </w:rPr>
      </w:pPr>
      <w:r>
        <w:rPr>
          <w:rFonts w:hint="eastAsia" w:ascii="宋体" w:hAnsi="宋体"/>
          <w:kern w:val="0"/>
          <w:sz w:val="28"/>
          <w:szCs w:val="24"/>
        </w:rPr>
        <w:t>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金。</w:t>
      </w:r>
    </w:p>
    <w:p>
      <w:pPr>
        <w:widowControl/>
        <w:spacing w:line="600" w:lineRule="exact"/>
        <w:ind w:firstLine="560" w:firstLineChars="200"/>
        <w:jc w:val="left"/>
        <w:rPr>
          <w:kern w:val="0"/>
          <w:sz w:val="28"/>
          <w:szCs w:val="24"/>
        </w:rPr>
      </w:pPr>
      <w:r>
        <w:rPr>
          <w:rFonts w:hint="eastAsia" w:ascii="宋体" w:hAnsi="宋体"/>
          <w:kern w:val="0"/>
          <w:sz w:val="28"/>
          <w:szCs w:val="24"/>
        </w:rPr>
        <w:t>办公设备购置：反映用于购置并按财务会计制度规定纳入固定资产核算范围的办公家具和办公设备的支出，以及按规定提取的修购基金。</w:t>
      </w:r>
    </w:p>
    <w:p>
      <w:pPr>
        <w:widowControl/>
        <w:spacing w:line="600" w:lineRule="exact"/>
        <w:ind w:firstLine="560" w:firstLineChars="200"/>
        <w:jc w:val="left"/>
        <w:rPr>
          <w:kern w:val="0"/>
          <w:sz w:val="28"/>
          <w:szCs w:val="24"/>
        </w:rPr>
      </w:pPr>
      <w:r>
        <w:rPr>
          <w:rFonts w:hint="eastAsia" w:ascii="宋体" w:hAnsi="宋体"/>
          <w:kern w:val="0"/>
          <w:sz w:val="28"/>
          <w:szCs w:val="24"/>
        </w:rPr>
        <w:t>其他资本性支出：反映上述科目中未包括的资本性支出。</w:t>
      </w:r>
    </w:p>
    <w:p>
      <w:pPr>
        <w:widowControl/>
        <w:spacing w:line="600" w:lineRule="exact"/>
        <w:ind w:firstLine="560" w:firstLineChars="200"/>
        <w:jc w:val="left"/>
        <w:rPr>
          <w:rFonts w:ascii="宋体" w:hAnsi="宋体"/>
          <w:kern w:val="0"/>
          <w:sz w:val="28"/>
          <w:szCs w:val="24"/>
        </w:rPr>
      </w:pPr>
      <w:r>
        <w:rPr>
          <w:rFonts w:hint="eastAsia" w:ascii="宋体" w:hAnsi="宋体"/>
          <w:kern w:val="0"/>
          <w:sz w:val="28"/>
          <w:szCs w:val="24"/>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等。</w:t>
      </w:r>
    </w:p>
    <w:p>
      <w:pPr>
        <w:pStyle w:val="2"/>
        <w:ind w:firstLine="420"/>
      </w:pPr>
    </w:p>
    <w:p>
      <w:pPr>
        <w:pStyle w:val="2"/>
        <w:numPr>
          <w:ilvl w:val="0"/>
          <w:numId w:val="4"/>
        </w:numPr>
        <w:ind w:firstLine="720" w:firstLineChars="0"/>
        <w:rPr>
          <w:rFonts w:ascii="黑体" w:eastAsia="黑体"/>
          <w:sz w:val="36"/>
        </w:rPr>
      </w:pPr>
    </w:p>
    <w:p>
      <w:pPr>
        <w:pStyle w:val="2"/>
        <w:ind w:firstLine="720"/>
        <w:rPr>
          <w:rFonts w:ascii="黑体" w:eastAsia="黑体"/>
          <w:sz w:val="36"/>
        </w:rPr>
      </w:pPr>
    </w:p>
    <w:p>
      <w:pPr>
        <w:pStyle w:val="2"/>
        <w:ind w:firstLine="3600" w:firstLineChars="1000"/>
        <w:rPr>
          <w:rFonts w:ascii="宋体" w:hAnsi="宋体" w:eastAsia="黑体"/>
          <w:kern w:val="0"/>
          <w:sz w:val="28"/>
        </w:rPr>
      </w:pPr>
      <w:r>
        <w:rPr>
          <w:rFonts w:hint="eastAsia" w:ascii="黑体" w:eastAsia="黑体"/>
          <w:sz w:val="36"/>
        </w:rPr>
        <w:t>附件</w:t>
      </w:r>
    </w:p>
    <w:p>
      <w:pPr>
        <w:ind w:firstLine="562" w:firstLineChars="200"/>
        <w:rPr>
          <w:rFonts w:ascii="宋体" w:hAnsi="宋体"/>
          <w:b/>
          <w:kern w:val="0"/>
          <w:sz w:val="28"/>
          <w:szCs w:val="24"/>
        </w:rPr>
      </w:pPr>
    </w:p>
    <w:p>
      <w:pPr>
        <w:ind w:firstLine="562" w:firstLineChars="200"/>
        <w:rPr>
          <w:rFonts w:ascii="宋体" w:hAnsi="宋体"/>
          <w:b/>
          <w:kern w:val="0"/>
          <w:sz w:val="28"/>
          <w:szCs w:val="24"/>
        </w:rPr>
      </w:pPr>
      <w:r>
        <w:rPr>
          <w:rFonts w:hint="eastAsia" w:ascii="宋体" w:hAnsi="宋体"/>
          <w:b/>
          <w:kern w:val="0"/>
          <w:sz w:val="28"/>
          <w:szCs w:val="24"/>
        </w:rPr>
        <w:t>岳阳县水资源与水土保持监测中心</w:t>
      </w:r>
      <w:r>
        <w:rPr>
          <w:rFonts w:ascii="宋体" w:hAnsi="宋体"/>
          <w:b/>
          <w:kern w:val="0"/>
          <w:sz w:val="28"/>
          <w:szCs w:val="24"/>
        </w:rPr>
        <w:t>2021</w:t>
      </w:r>
      <w:r>
        <w:rPr>
          <w:rFonts w:hint="eastAsia" w:ascii="宋体" w:hAnsi="宋体"/>
          <w:b/>
          <w:kern w:val="0"/>
          <w:sz w:val="28"/>
          <w:szCs w:val="24"/>
        </w:rPr>
        <w:t>年度决算公开表</w:t>
      </w:r>
    </w:p>
    <w:p>
      <w:pPr>
        <w:pStyle w:val="2"/>
        <w:ind w:firstLine="562"/>
        <w:rPr>
          <w:rFonts w:ascii="宋体" w:hAnsi="宋体"/>
          <w:b/>
          <w:kern w:val="0"/>
          <w:sz w:val="28"/>
        </w:rPr>
      </w:pPr>
    </w:p>
    <w:p>
      <w:pPr>
        <w:pStyle w:val="2"/>
        <w:ind w:firstLine="0" w:firstLineChars="0"/>
        <w:rPr>
          <w:rFonts w:ascii="宋体" w:hAnsi="宋体"/>
          <w:b/>
          <w:kern w:val="0"/>
          <w:sz w:val="28"/>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F34E94"/>
    <w:multiLevelType w:val="multilevel"/>
    <w:tmpl w:val="83F34E94"/>
    <w:lvl w:ilvl="0" w:tentative="0">
      <w:start w:val="9"/>
      <w:numFmt w:val="chineseCounting"/>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039D55E5"/>
    <w:multiLevelType w:val="multilevel"/>
    <w:tmpl w:val="039D55E5"/>
    <w:lvl w:ilvl="0" w:tentative="0">
      <w:start w:val="5"/>
      <w:numFmt w:val="chineseCounting"/>
      <w:suff w:val="space"/>
      <w:lvlText w:val="第%1部分"/>
      <w:lvlJc w:val="left"/>
      <w:pPr>
        <w:ind w:left="-90"/>
      </w:pPr>
    </w:lvl>
    <w:lvl w:ilvl="1" w:tentative="0">
      <w:start w:val="1"/>
      <w:numFmt w:val="decimal"/>
      <w:lvlText w:val="第部分"/>
      <w:lvlJc w:val="left"/>
      <w:pPr>
        <w:ind w:left="-90"/>
      </w:pPr>
    </w:lvl>
    <w:lvl w:ilvl="2" w:tentative="0">
      <w:start w:val="1"/>
      <w:numFmt w:val="decimal"/>
      <w:lvlText w:val="第部分"/>
      <w:lvlJc w:val="left"/>
      <w:pPr>
        <w:ind w:left="-90"/>
      </w:pPr>
    </w:lvl>
    <w:lvl w:ilvl="3" w:tentative="0">
      <w:start w:val="1"/>
      <w:numFmt w:val="decimal"/>
      <w:lvlText w:val="第部分"/>
      <w:lvlJc w:val="left"/>
      <w:pPr>
        <w:ind w:left="-90"/>
      </w:pPr>
    </w:lvl>
    <w:lvl w:ilvl="4" w:tentative="0">
      <w:start w:val="1"/>
      <w:numFmt w:val="decimal"/>
      <w:lvlText w:val="第部分"/>
      <w:lvlJc w:val="left"/>
      <w:pPr>
        <w:ind w:left="-90"/>
      </w:pPr>
    </w:lvl>
    <w:lvl w:ilvl="5" w:tentative="0">
      <w:start w:val="1"/>
      <w:numFmt w:val="decimal"/>
      <w:lvlText w:val="第部分"/>
      <w:lvlJc w:val="left"/>
      <w:pPr>
        <w:ind w:left="-90"/>
      </w:pPr>
    </w:lvl>
    <w:lvl w:ilvl="6" w:tentative="0">
      <w:start w:val="1"/>
      <w:numFmt w:val="decimal"/>
      <w:lvlText w:val="第部分"/>
      <w:lvlJc w:val="left"/>
      <w:pPr>
        <w:ind w:left="-90"/>
      </w:pPr>
    </w:lvl>
    <w:lvl w:ilvl="7" w:tentative="0">
      <w:start w:val="1"/>
      <w:numFmt w:val="decimal"/>
      <w:lvlText w:val="第部分"/>
      <w:lvlJc w:val="left"/>
      <w:pPr>
        <w:ind w:left="-90"/>
      </w:pPr>
    </w:lvl>
    <w:lvl w:ilvl="8" w:tentative="0">
      <w:start w:val="1"/>
      <w:numFmt w:val="decimal"/>
      <w:lvlText w:val="第部分"/>
      <w:lvlJc w:val="left"/>
      <w:pPr>
        <w:ind w:left="-90"/>
      </w:pPr>
    </w:lvl>
  </w:abstractNum>
  <w:abstractNum w:abstractNumId="2">
    <w:nsid w:val="491B0DB1"/>
    <w:multiLevelType w:val="multilevel"/>
    <w:tmpl w:val="491B0DB1"/>
    <w:lvl w:ilvl="0" w:tentative="0">
      <w:start w:val="1"/>
      <w:numFmt w:val="chineseCounting"/>
      <w:suff w:val="nothing"/>
      <w:lvlText w:val="%1、"/>
      <w:lvlJc w:val="left"/>
      <w:rPr>
        <w:rFonts w:ascii="Times New Roman" w:hAnsi="Times New Roman" w:eastAsia="Times New Roman"/>
      </w:rPr>
    </w:lvl>
    <w:lvl w:ilvl="1" w:tentative="0">
      <w:start w:val="1"/>
      <w:numFmt w:val="decimal"/>
      <w:lvlText w:val="、"/>
      <w:lvlJc w:val="left"/>
      <w:rPr>
        <w:rFonts w:ascii="Times New Roman" w:hAnsi="Times New Roman" w:eastAsia="Times New Roman"/>
      </w:rPr>
    </w:lvl>
    <w:lvl w:ilvl="2" w:tentative="0">
      <w:start w:val="1"/>
      <w:numFmt w:val="decimal"/>
      <w:lvlText w:val="、"/>
      <w:lvlJc w:val="left"/>
      <w:rPr>
        <w:rFonts w:ascii="Times New Roman" w:hAnsi="Times New Roman" w:eastAsia="Times New Roman"/>
      </w:rPr>
    </w:lvl>
    <w:lvl w:ilvl="3" w:tentative="0">
      <w:start w:val="1"/>
      <w:numFmt w:val="decimal"/>
      <w:lvlText w:val="、"/>
      <w:lvlJc w:val="left"/>
      <w:rPr>
        <w:rFonts w:ascii="Times New Roman" w:hAnsi="Times New Roman" w:eastAsia="Times New Roman"/>
      </w:rPr>
    </w:lvl>
    <w:lvl w:ilvl="4" w:tentative="0">
      <w:start w:val="1"/>
      <w:numFmt w:val="decimal"/>
      <w:lvlText w:val="、"/>
      <w:lvlJc w:val="left"/>
      <w:rPr>
        <w:rFonts w:ascii="Times New Roman" w:hAnsi="Times New Roman" w:eastAsia="Times New Roman"/>
      </w:rPr>
    </w:lvl>
    <w:lvl w:ilvl="5" w:tentative="0">
      <w:start w:val="1"/>
      <w:numFmt w:val="decimal"/>
      <w:lvlText w:val="、"/>
      <w:lvlJc w:val="left"/>
      <w:rPr>
        <w:rFonts w:ascii="Times New Roman" w:hAnsi="Times New Roman" w:eastAsia="Times New Roman"/>
      </w:rPr>
    </w:lvl>
    <w:lvl w:ilvl="6" w:tentative="0">
      <w:start w:val="1"/>
      <w:numFmt w:val="decimal"/>
      <w:lvlText w:val="、"/>
      <w:lvlJc w:val="left"/>
      <w:rPr>
        <w:rFonts w:ascii="Times New Roman" w:hAnsi="Times New Roman" w:eastAsia="Times New Roman"/>
      </w:rPr>
    </w:lvl>
    <w:lvl w:ilvl="7" w:tentative="0">
      <w:start w:val="1"/>
      <w:numFmt w:val="decimal"/>
      <w:lvlText w:val="、"/>
      <w:lvlJc w:val="left"/>
      <w:rPr>
        <w:rFonts w:ascii="Times New Roman" w:hAnsi="Times New Roman" w:eastAsia="Times New Roman"/>
      </w:rPr>
    </w:lvl>
    <w:lvl w:ilvl="8" w:tentative="0">
      <w:start w:val="1"/>
      <w:numFmt w:val="decimal"/>
      <w:lvlText w:val="、"/>
      <w:lvlJc w:val="left"/>
      <w:rPr>
        <w:rFonts w:ascii="Times New Roman" w:hAnsi="Times New Roman" w:eastAsia="Times New Roman"/>
      </w:rPr>
    </w:lvl>
  </w:abstractNum>
  <w:abstractNum w:abstractNumId="3">
    <w:nsid w:val="593FCEAF"/>
    <w:multiLevelType w:val="multilevel"/>
    <w:tmpl w:val="593FCEAF"/>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HorizontalSpacing w:val="120"/>
  <w:drawingGridVerticalSpacing w:val="120"/>
  <w:doNotUseMarginsForDrawingGridOrigin w:val="1"/>
  <w:drawingGridHorizontalOrigin w:val="1800"/>
  <w:drawingGridVerticalOrigin w:val="1440"/>
  <w:doNotShadeFormData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ExN2IyODkxMWNjYjg0NzU5ZDc5YjFlNGM5MWI5ZGIifQ=="/>
  </w:docVars>
  <w:rsids>
    <w:rsidRoot w:val="005021AE"/>
    <w:rsid w:val="000A4672"/>
    <w:rsid w:val="00440B13"/>
    <w:rsid w:val="005021AE"/>
    <w:rsid w:val="005A0940"/>
    <w:rsid w:val="0062371C"/>
    <w:rsid w:val="00637A11"/>
    <w:rsid w:val="00725252"/>
    <w:rsid w:val="007A219B"/>
    <w:rsid w:val="0081582E"/>
    <w:rsid w:val="00995B28"/>
    <w:rsid w:val="00B648E0"/>
    <w:rsid w:val="00BA48CB"/>
    <w:rsid w:val="00FC300C"/>
    <w:rsid w:val="12E74726"/>
    <w:rsid w:val="66122266"/>
    <w:rsid w:val="7F77531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semiHidden="0" w:name="index 1" w:locked="1"/>
    <w:lsdException w:qFormat="1" w:unhideWhenUsed="0" w:uiPriority="0" w:semiHidden="0" w:name="index 2" w:locked="1"/>
    <w:lsdException w:qFormat="1" w:unhideWhenUsed="0" w:uiPriority="0" w:semiHidden="0" w:name="index 3" w:locked="1"/>
    <w:lsdException w:qFormat="1" w:unhideWhenUsed="0" w:uiPriority="0" w:semiHidden="0" w:name="index 4" w:locked="1"/>
    <w:lsdException w:qFormat="1" w:unhideWhenUsed="0" w:uiPriority="0" w:semiHidden="0" w:name="index 5" w:locked="1"/>
    <w:lsdException w:qFormat="1" w:unhideWhenUsed="0" w:uiPriority="0" w:semiHidden="0" w:name="index 6" w:locked="1"/>
    <w:lsdException w:qFormat="1" w:unhideWhenUsed="0" w:uiPriority="0" w:semiHidden="0" w:name="index 7" w:locked="1"/>
    <w:lsdException w:qFormat="1" w:unhideWhenUsed="0" w:uiPriority="0" w:semiHidden="0" w:name="index 8" w:locked="1"/>
    <w:lsdException w:qFormat="1" w:unhideWhenUsed="0" w:uiPriority="0" w:semiHidden="0" w:name="index 9" w:locked="1"/>
    <w:lsdException w:qFormat="1" w:unhideWhenUsed="0" w:uiPriority="0" w:semiHidden="0" w:name="toc 1" w:locked="1"/>
    <w:lsdException w:qFormat="1" w:unhideWhenUsed="0" w:uiPriority="0"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nhideWhenUsed="0" w:uiPriority="0" w:semiHidden="0" w:name="Normal Indent" w:locked="1"/>
    <w:lsdException w:qFormat="1" w:unhideWhenUsed="0" w:uiPriority="0" w:semiHidden="0" w:name="footnote text" w:locked="1"/>
    <w:lsdException w:qFormat="1" w:unhideWhenUsed="0" w:uiPriority="0" w:semiHidden="0" w:name="annotation text" w:locked="1"/>
    <w:lsdException w:qFormat="1" w:uiPriority="99" w:semiHidden="0" w:name="header"/>
    <w:lsdException w:qFormat="1" w:uiPriority="99" w:semiHidden="0" w:name="footer"/>
    <w:lsdException w:qFormat="1" w:unhideWhenUsed="0" w:uiPriority="0" w:semiHidden="0" w:name="index heading" w:locked="1"/>
    <w:lsdException w:qFormat="1" w:uiPriority="0" w:name="caption" w:locked="1"/>
    <w:lsdException w:qFormat="1" w:unhideWhenUsed="0" w:uiPriority="0" w:semiHidden="0" w:name="table of figures" w:locked="1"/>
    <w:lsdException w:qFormat="1" w:unhideWhenUsed="0" w:uiPriority="0" w:semiHidden="0" w:name="envelope address" w:locked="1"/>
    <w:lsdException w:qFormat="1" w:unhideWhenUsed="0" w:uiPriority="0" w:semiHidden="0" w:name="envelope return" w:locked="1"/>
    <w:lsdException w:qFormat="1" w:unhideWhenUsed="0" w:uiPriority="0" w:semiHidden="0" w:name="footnote reference" w:locked="1"/>
    <w:lsdException w:qFormat="1" w:unhideWhenUsed="0" w:uiPriority="0" w:semiHidden="0" w:name="annotation reference" w:locked="1"/>
    <w:lsdException w:qFormat="1" w:unhideWhenUsed="0" w:uiPriority="0" w:semiHidden="0" w:name="line number" w:locked="1"/>
    <w:lsdException w:qFormat="1" w:unhideWhenUsed="0" w:uiPriority="0" w:semiHidden="0" w:name="page number" w:locked="1"/>
    <w:lsdException w:qFormat="1" w:unhideWhenUsed="0" w:uiPriority="0" w:semiHidden="0" w:name="endnote reference" w:locked="1"/>
    <w:lsdException w:qFormat="1" w:unhideWhenUsed="0" w:uiPriority="0" w:semiHidden="0" w:name="endnote text" w:locked="1"/>
    <w:lsdException w:qFormat="1" w:unhideWhenUsed="0" w:uiPriority="0" w:semiHidden="0" w:name="table of authorities" w:locked="1"/>
    <w:lsdException w:qFormat="1" w:unhideWhenUsed="0" w:uiPriority="0" w:semiHidden="0" w:name="macro" w:locked="1"/>
    <w:lsdException w:qFormat="1" w:unhideWhenUsed="0" w:uiPriority="0" w:semiHidden="0" w:name="toa heading" w:locked="1"/>
    <w:lsdException w:qFormat="1" w:unhideWhenUsed="0" w:uiPriority="0" w:semiHidden="0" w:name="List" w:locked="1"/>
    <w:lsdException w:qFormat="1" w:unhideWhenUsed="0" w:uiPriority="0" w:semiHidden="0" w:name="List Bullet" w:locked="1"/>
    <w:lsdException w:qFormat="1" w:unhideWhenUsed="0" w:uiPriority="0" w:semiHidden="0" w:name="List Number" w:locked="1"/>
    <w:lsdException w:qFormat="1" w:unhideWhenUsed="0" w:uiPriority="0" w:semiHidden="0" w:name="List 2" w:locked="1"/>
    <w:lsdException w:qFormat="1" w:unhideWhenUsed="0" w:uiPriority="0" w:semiHidden="0" w:name="List 3" w:locked="1"/>
    <w:lsdException w:qFormat="1" w:unhideWhenUsed="0" w:uiPriority="0" w:semiHidden="0" w:name="List 4" w:locked="1"/>
    <w:lsdException w:qFormat="1" w:unhideWhenUsed="0" w:uiPriority="0" w:semiHidden="0" w:name="List 5" w:locked="1"/>
    <w:lsdException w:qFormat="1" w:unhideWhenUsed="0" w:uiPriority="0" w:semiHidden="0" w:name="List Bullet 2" w:locked="1"/>
    <w:lsdException w:qFormat="1" w:unhideWhenUsed="0" w:uiPriority="0" w:semiHidden="0" w:name="List Bullet 3" w:locked="1"/>
    <w:lsdException w:qFormat="1" w:unhideWhenUsed="0" w:uiPriority="0" w:semiHidden="0" w:name="List Bullet 4" w:locked="1"/>
    <w:lsdException w:qFormat="1" w:unhideWhenUsed="0" w:uiPriority="0" w:semiHidden="0" w:name="List Bullet 5" w:locked="1"/>
    <w:lsdException w:qFormat="1" w:unhideWhenUsed="0" w:uiPriority="0" w:semiHidden="0" w:name="List Number 2" w:locked="1"/>
    <w:lsdException w:qFormat="1" w:unhideWhenUsed="0" w:uiPriority="0" w:semiHidden="0" w:name="List Number 3" w:locked="1"/>
    <w:lsdException w:qFormat="1" w:unhideWhenUsed="0" w:uiPriority="0" w:semiHidden="0" w:name="List Number 4" w:locked="1"/>
    <w:lsdException w:qFormat="1" w:unhideWhenUsed="0" w:uiPriority="0" w:semiHidden="0" w:name="List Number 5" w:locked="1"/>
    <w:lsdException w:qFormat="1" w:unhideWhenUsed="0" w:uiPriority="0" w:semiHidden="0" w:name="Title" w:locked="1"/>
    <w:lsdException w:qFormat="1" w:unhideWhenUsed="0" w:uiPriority="0" w:semiHidden="0" w:name="Closing" w:locked="1"/>
    <w:lsdException w:qFormat="1" w:unhideWhenUsed="0" w:uiPriority="0" w:semiHidden="0" w:name="Signature" w:locked="1"/>
    <w:lsdException w:qFormat="1" w:uiPriority="1" w:name="Default Paragraph Font"/>
    <w:lsdException w:qFormat="1" w:unhideWhenUsed="0" w:uiPriority="0" w:semiHidden="0" w:name="Body Text" w:locked="1"/>
    <w:lsdException w:qFormat="1" w:unhideWhenUsed="0" w:uiPriority="0" w:semiHidden="0" w:name="Body Text Indent" w:locked="1"/>
    <w:lsdException w:qFormat="1" w:unhideWhenUsed="0" w:uiPriority="0" w:semiHidden="0" w:name="List Continue" w:locked="1"/>
    <w:lsdException w:qFormat="1" w:unhideWhenUsed="0" w:uiPriority="0" w:semiHidden="0" w:name="List Continue 2" w:locked="1"/>
    <w:lsdException w:qFormat="1" w:unhideWhenUsed="0" w:uiPriority="0" w:semiHidden="0" w:name="List Continue 3" w:locked="1"/>
    <w:lsdException w:qFormat="1" w:unhideWhenUsed="0" w:uiPriority="0" w:semiHidden="0" w:name="List Continue 4" w:locked="1"/>
    <w:lsdException w:qFormat="1" w:unhideWhenUsed="0" w:uiPriority="0" w:semiHidden="0" w:name="List Continue 5" w:locked="1"/>
    <w:lsdException w:qFormat="1" w:unhideWhenUsed="0" w:uiPriority="0" w:semiHidden="0" w:name="Message Header" w:locked="1"/>
    <w:lsdException w:qFormat="1" w:unhideWhenUsed="0" w:uiPriority="0" w:semiHidden="0" w:name="Subtitle" w:locked="1"/>
    <w:lsdException w:qFormat="1" w:unhideWhenUsed="0" w:uiPriority="0" w:semiHidden="0" w:name="Salutation" w:locked="1"/>
    <w:lsdException w:qFormat="1" w:unhideWhenUsed="0" w:uiPriority="0" w:semiHidden="0" w:name="Date" w:locked="1"/>
    <w:lsdException w:qFormat="1" w:unhideWhenUsed="0" w:uiPriority="0" w:semiHidden="0" w:name="Body Text First Indent" w:locked="1"/>
    <w:lsdException w:qFormat="1" w:unhideWhenUsed="0" w:uiPriority="0" w:semiHidden="0" w:name="Body Text First Indent 2" w:locked="1"/>
    <w:lsdException w:qFormat="1" w:unhideWhenUsed="0" w:uiPriority="0" w:semiHidden="0" w:name="Note Heading" w:locked="1"/>
    <w:lsdException w:qFormat="1" w:unhideWhenUsed="0" w:uiPriority="0" w:semiHidden="0" w:name="Body Text 2" w:locked="1"/>
    <w:lsdException w:qFormat="1" w:unhideWhenUsed="0" w:uiPriority="0" w:semiHidden="0" w:name="Body Text 3" w:locked="1"/>
    <w:lsdException w:qFormat="1" w:unhideWhenUsed="0" w:uiPriority="0" w:semiHidden="0" w:name="Body Text Indent 2" w:locked="1"/>
    <w:lsdException w:qFormat="1" w:unhideWhenUsed="0" w:uiPriority="0" w:semiHidden="0" w:name="Body Text Indent 3" w:locked="1"/>
    <w:lsdException w:qFormat="1" w:unhideWhenUsed="0" w:uiPriority="0" w:semiHidden="0" w:name="Block Text" w:locked="1"/>
    <w:lsdException w:qFormat="1" w:unhideWhenUsed="0" w:uiPriority="0" w:semiHidden="0" w:name="Hyperlink" w:locked="1"/>
    <w:lsdException w:qFormat="1" w:unhideWhenUsed="0" w:uiPriority="0" w:semiHidden="0" w:name="FollowedHyperlink" w:locked="1"/>
    <w:lsdException w:qFormat="1" w:unhideWhenUsed="0" w:uiPriority="99" w:semiHidden="0" w:name="Strong"/>
    <w:lsdException w:qFormat="1" w:unhideWhenUsed="0" w:uiPriority="0" w:semiHidden="0" w:name="Emphasis" w:locked="1"/>
    <w:lsdException w:qFormat="1" w:unhideWhenUsed="0" w:uiPriority="0" w:semiHidden="0" w:name="Document Map" w:locked="1"/>
    <w:lsdException w:qFormat="1" w:unhideWhenUsed="0" w:uiPriority="0" w:semiHidden="0" w:name="Plain Text" w:locked="1"/>
    <w:lsdException w:qFormat="1" w:unhideWhenUsed="0" w:uiPriority="0" w:semiHidden="0" w:name="E-mail Signature" w:locked="1"/>
    <w:lsdException w:qFormat="1" w:uiPriority="99" w:semiHidden="0" w:name="Normal (Web)"/>
    <w:lsdException w:qFormat="1" w:unhideWhenUsed="0" w:uiPriority="0" w:semiHidden="0" w:name="HTML Acronym" w:locked="1"/>
    <w:lsdException w:qFormat="1" w:unhideWhenUsed="0" w:uiPriority="0" w:semiHidden="0" w:name="HTML Address" w:locked="1"/>
    <w:lsdException w:qFormat="1" w:unhideWhenUsed="0" w:uiPriority="0" w:semiHidden="0" w:name="HTML Cite" w:locked="1"/>
    <w:lsdException w:qFormat="1" w:unhideWhenUsed="0" w:uiPriority="0" w:semiHidden="0" w:name="HTML Code" w:locked="1"/>
    <w:lsdException w:qFormat="1" w:unhideWhenUsed="0" w:uiPriority="0" w:semiHidden="0" w:name="HTML Definition" w:locked="1"/>
    <w:lsdException w:qFormat="1" w:unhideWhenUsed="0" w:uiPriority="0" w:semiHidden="0" w:name="HTML Keyboard" w:locked="1"/>
    <w:lsdException w:qFormat="1" w:unhideWhenUsed="0" w:uiPriority="0" w:semiHidden="0" w:name="HTML Preformatted" w:locked="1"/>
    <w:lsdException w:qFormat="1" w:unhideWhenUsed="0" w:uiPriority="0" w:semiHidden="0" w:name="HTML Sample" w:locked="1"/>
    <w:lsdException w:qFormat="1" w:unhideWhenUsed="0" w:uiPriority="0" w:semiHidden="0" w:name="HTML Typewriter" w:locked="1"/>
    <w:lsdException w:qFormat="1" w:unhideWhenUsed="0" w:uiPriority="0" w:semiHidden="0" w:name="HTML Variable" w:locked="1"/>
    <w:lsdException w:qFormat="1" w:uiPriority="99" w:name="Normal Table"/>
    <w:lsdException w:qFormat="1" w:unhideWhenUsed="0" w:uiPriority="0" w:semiHidden="0" w:name="annotation subject" w:locked="1"/>
    <w:lsdException w:qFormat="1" w:unhideWhenUsed="0" w:uiPriority="0" w:semiHidden="0" w:name="Table Simple 1"/>
    <w:lsdException w:qFormat="1" w:unhideWhenUsed="0" w:uiPriority="0" w:semiHidden="0" w:name="Table Simple 2" w:locked="1"/>
    <w:lsdException w:qFormat="1" w:unhideWhenUsed="0" w:uiPriority="0" w:semiHidden="0" w:name="Table Simple 3" w:locked="1"/>
    <w:lsdException w:qFormat="1" w:unhideWhenUsed="0" w:uiPriority="0" w:semiHidden="0" w:name="Table Classic 1" w:locked="1"/>
    <w:lsdException w:qFormat="1" w:unhideWhenUsed="0" w:uiPriority="0" w:semiHidden="0" w:name="Table Classic 2" w:locked="1"/>
    <w:lsdException w:qFormat="1" w:unhideWhenUsed="0" w:uiPriority="0" w:semiHidden="0" w:name="Table Classic 3" w:locked="1"/>
    <w:lsdException w:qFormat="1" w:unhideWhenUsed="0" w:uiPriority="0" w:semiHidden="0" w:name="Table Classic 4" w:locked="1"/>
    <w:lsdException w:qFormat="1" w:unhideWhenUsed="0" w:uiPriority="0" w:semiHidden="0" w:name="Table Colorful 1" w:locked="1"/>
    <w:lsdException w:qFormat="1" w:unhideWhenUsed="0" w:uiPriority="0" w:semiHidden="0" w:name="Table Colorful 2" w:locked="1"/>
    <w:lsdException w:qFormat="1" w:unhideWhenUsed="0" w:uiPriority="0" w:semiHidden="0" w:name="Table Colorful 3" w:locked="1"/>
    <w:lsdException w:qFormat="1" w:unhideWhenUsed="0" w:uiPriority="0" w:semiHidden="0" w:name="Table Columns 1" w:locked="1"/>
    <w:lsdException w:qFormat="1" w:unhideWhenUsed="0" w:uiPriority="0" w:semiHidden="0" w:name="Table Columns 2" w:locked="1"/>
    <w:lsdException w:qFormat="1" w:unhideWhenUsed="0" w:uiPriority="0" w:semiHidden="0" w:name="Table Columns 3" w:locked="1"/>
    <w:lsdException w:qFormat="1" w:unhideWhenUsed="0" w:uiPriority="0" w:semiHidden="0" w:name="Table Columns 4" w:locked="1"/>
    <w:lsdException w:qFormat="1" w:unhideWhenUsed="0" w:uiPriority="0" w:semiHidden="0" w:name="Table Columns 5" w:locked="1"/>
    <w:lsdException w:qFormat="1" w:unhideWhenUsed="0" w:uiPriority="0" w:semiHidden="0" w:name="Table Grid 1" w:locked="1"/>
    <w:lsdException w:qFormat="1" w:unhideWhenUsed="0" w:uiPriority="0" w:semiHidden="0" w:name="Table Grid 2" w:locked="1"/>
    <w:lsdException w:qFormat="1" w:unhideWhenUsed="0" w:uiPriority="0" w:semiHidden="0" w:name="Table Grid 3" w:locked="1"/>
    <w:lsdException w:qFormat="1" w:unhideWhenUsed="0" w:uiPriority="0" w:semiHidden="0" w:name="Table Grid 4" w:locked="1"/>
    <w:lsdException w:qFormat="1" w:unhideWhenUsed="0" w:uiPriority="0" w:semiHidden="0" w:name="Table Grid 5" w:locked="1"/>
    <w:lsdException w:qFormat="1" w:unhideWhenUsed="0" w:uiPriority="0" w:semiHidden="0" w:name="Table Grid 6" w:locked="1"/>
    <w:lsdException w:qFormat="1" w:unhideWhenUsed="0" w:uiPriority="0" w:semiHidden="0" w:name="Table Grid 7" w:locked="1"/>
    <w:lsdException w:qFormat="1" w:unhideWhenUsed="0" w:uiPriority="0" w:semiHidden="0" w:name="Table Grid 8" w:locked="1"/>
    <w:lsdException w:qFormat="1" w:unhideWhenUsed="0" w:uiPriority="0" w:semiHidden="0" w:name="Table List 1" w:locked="1"/>
    <w:lsdException w:qFormat="1" w:unhideWhenUsed="0" w:uiPriority="0" w:semiHidden="0" w:name="Table List 2" w:locked="1"/>
    <w:lsdException w:qFormat="1" w:unhideWhenUsed="0" w:uiPriority="0" w:semiHidden="0" w:name="Table List 3" w:locked="1"/>
    <w:lsdException w:qFormat="1" w:unhideWhenUsed="0" w:uiPriority="0" w:semiHidden="0" w:name="Table List 4" w:locked="1"/>
    <w:lsdException w:qFormat="1" w:unhideWhenUsed="0" w:uiPriority="0" w:semiHidden="0" w:name="Table List 5" w:locked="1"/>
    <w:lsdException w:qFormat="1" w:unhideWhenUsed="0" w:uiPriority="0" w:semiHidden="0" w:name="Table List 6" w:locked="1"/>
    <w:lsdException w:qFormat="1" w:unhideWhenUsed="0" w:uiPriority="0" w:semiHidden="0" w:name="Table List 7" w:locked="1"/>
    <w:lsdException w:qFormat="1" w:unhideWhenUsed="0" w:uiPriority="0" w:semiHidden="0" w:name="Table List 8" w:locked="1"/>
    <w:lsdException w:qFormat="1" w:unhideWhenUsed="0" w:uiPriority="0" w:semiHidden="0" w:name="Table 3D effects 1" w:locked="1"/>
    <w:lsdException w:qFormat="1" w:unhideWhenUsed="0" w:uiPriority="0" w:semiHidden="0" w:name="Table 3D effects 2" w:locked="1"/>
    <w:lsdException w:qFormat="1" w:unhideWhenUsed="0" w:uiPriority="0" w:semiHidden="0" w:name="Table 3D effects 3" w:locked="1"/>
    <w:lsdException w:qFormat="1" w:unhideWhenUsed="0" w:uiPriority="0" w:semiHidden="0" w:name="Table Contemporary" w:locked="1"/>
    <w:lsdException w:qFormat="1" w:unhideWhenUsed="0" w:uiPriority="0" w:semiHidden="0" w:name="Table Elegant" w:locked="1"/>
    <w:lsdException w:qFormat="1" w:unhideWhenUsed="0" w:uiPriority="0" w:semiHidden="0" w:name="Table Professional" w:locked="1"/>
    <w:lsdException w:qFormat="1" w:unhideWhenUsed="0" w:uiPriority="0" w:semiHidden="0" w:name="Table Subtle 1" w:locked="1"/>
    <w:lsdException w:qFormat="1" w:unhideWhenUsed="0" w:uiPriority="0" w:semiHidden="0" w:name="Table Subtle 2" w:locked="1"/>
    <w:lsdException w:qFormat="1" w:unhideWhenUsed="0" w:uiPriority="0" w:semiHidden="0" w:name="Table Web 1" w:locked="1"/>
    <w:lsdException w:qFormat="1" w:unhideWhenUsed="0" w:uiPriority="0" w:semiHidden="0" w:name="Table Web 2" w:locked="1"/>
    <w:lsdException w:qFormat="1" w:unhideWhenUsed="0" w:uiPriority="0" w:semiHidden="0" w:name="Table Web 3" w:locked="1"/>
    <w:lsdException w:qFormat="1" w:unhideWhenUsed="0" w:uiPriority="0" w:semiHidden="0" w:name="Balloon Text" w:locked="1"/>
    <w:lsdException w:qFormat="1" w:unhideWhenUsed="0" w:uiPriority="0" w:semiHidden="0" w:name="Table Grid" w:locked="1"/>
    <w:lsdException w:qFormat="1"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2"/>
    <w:qFormat/>
    <w:locked/>
    <w:uiPriority w:val="9"/>
    <w:pPr>
      <w:keepNext/>
      <w:keepLines/>
      <w:spacing w:before="340" w:after="330" w:line="576" w:lineRule="auto"/>
      <w:outlineLvl w:val="0"/>
    </w:pPr>
    <w:rPr>
      <w:b/>
      <w:kern w:val="44"/>
      <w:sz w:val="44"/>
      <w:szCs w:val="24"/>
    </w:rPr>
  </w:style>
  <w:style w:type="paragraph" w:styleId="4">
    <w:name w:val="heading 2"/>
    <w:basedOn w:val="1"/>
    <w:next w:val="1"/>
    <w:link w:val="13"/>
    <w:qFormat/>
    <w:locked/>
    <w:uiPriority w:val="9"/>
    <w:pPr>
      <w:keepNext/>
      <w:keepLines/>
      <w:spacing w:before="260" w:after="260" w:line="413" w:lineRule="auto"/>
      <w:outlineLvl w:val="1"/>
    </w:pPr>
    <w:rPr>
      <w:rFonts w:ascii="Arial" w:hAnsi="Arial" w:eastAsia="黑体"/>
      <w:b/>
      <w:sz w:val="32"/>
      <w:szCs w:val="24"/>
    </w:rPr>
  </w:style>
  <w:style w:type="paragraph" w:styleId="5">
    <w:name w:val="heading 3"/>
    <w:basedOn w:val="1"/>
    <w:next w:val="1"/>
    <w:link w:val="14"/>
    <w:qFormat/>
    <w:locked/>
    <w:uiPriority w:val="9"/>
    <w:pPr>
      <w:keepNext/>
      <w:keepLines/>
      <w:spacing w:before="260" w:after="260" w:line="413" w:lineRule="auto"/>
      <w:outlineLvl w:val="2"/>
    </w:pPr>
    <w:rPr>
      <w:b/>
      <w:sz w:val="32"/>
      <w:szCs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unhideWhenUsed/>
    <w:qFormat/>
    <w:uiPriority w:val="0"/>
    <w:pPr>
      <w:ind w:firstLine="200" w:firstLineChars="200"/>
    </w:pPr>
    <w:rPr>
      <w:color w:val="000000"/>
      <w:szCs w:val="24"/>
    </w:rPr>
  </w:style>
  <w:style w:type="paragraph" w:styleId="6">
    <w:name w:val="footer"/>
    <w:basedOn w:val="1"/>
    <w:link w:val="18"/>
    <w:unhideWhenUsed/>
    <w:qFormat/>
    <w:uiPriority w:val="99"/>
    <w:pPr>
      <w:tabs>
        <w:tab w:val="center" w:pos="4153"/>
        <w:tab w:val="right" w:pos="8306"/>
      </w:tabs>
      <w:snapToGrid w:val="0"/>
      <w:jc w:val="left"/>
    </w:pPr>
    <w:rPr>
      <w:sz w:val="18"/>
      <w:szCs w:val="24"/>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24"/>
    </w:rPr>
  </w:style>
  <w:style w:type="paragraph" w:styleId="8">
    <w:name w:val="Normal (Web)"/>
    <w:basedOn w:val="1"/>
    <w:unhideWhenUsed/>
    <w:qFormat/>
    <w:uiPriority w:val="99"/>
    <w:pPr>
      <w:widowControl/>
      <w:spacing w:before="100" w:beforeAutospacing="1" w:after="100" w:afterAutospacing="1"/>
      <w:jc w:val="left"/>
    </w:pPr>
    <w:rPr>
      <w:rFonts w:ascii="宋体" w:hAnsi="宋体"/>
      <w:sz w:val="24"/>
      <w:szCs w:val="24"/>
    </w:rPr>
  </w:style>
  <w:style w:type="character" w:styleId="11">
    <w:name w:val="Strong"/>
    <w:basedOn w:val="10"/>
    <w:qFormat/>
    <w:uiPriority w:val="99"/>
    <w:rPr>
      <w:rFonts w:eastAsia="Times New Roman"/>
      <w:b/>
    </w:rPr>
  </w:style>
  <w:style w:type="character" w:customStyle="1" w:styleId="12">
    <w:name w:val="标题 1 Char"/>
    <w:basedOn w:val="10"/>
    <w:link w:val="3"/>
    <w:qFormat/>
    <w:uiPriority w:val="9"/>
    <w:rPr>
      <w:rFonts w:cs="Times New Roman"/>
      <w:b/>
      <w:bCs/>
      <w:kern w:val="44"/>
      <w:sz w:val="44"/>
      <w:szCs w:val="44"/>
    </w:rPr>
  </w:style>
  <w:style w:type="character" w:customStyle="1" w:styleId="13">
    <w:name w:val="标题 2 Char"/>
    <w:basedOn w:val="10"/>
    <w:link w:val="4"/>
    <w:semiHidden/>
    <w:qFormat/>
    <w:uiPriority w:val="9"/>
    <w:rPr>
      <w:rFonts w:asciiTheme="majorHAnsi" w:hAnsiTheme="majorHAnsi" w:eastAsiaTheme="majorEastAsia" w:cstheme="majorBidi"/>
      <w:b/>
      <w:bCs/>
      <w:sz w:val="32"/>
      <w:szCs w:val="32"/>
    </w:rPr>
  </w:style>
  <w:style w:type="character" w:customStyle="1" w:styleId="14">
    <w:name w:val="标题 3 Char"/>
    <w:basedOn w:val="10"/>
    <w:link w:val="5"/>
    <w:semiHidden/>
    <w:qFormat/>
    <w:uiPriority w:val="9"/>
    <w:rPr>
      <w:rFonts w:cs="Times New Roman"/>
      <w:b/>
      <w:bCs/>
      <w:sz w:val="32"/>
      <w:szCs w:val="32"/>
    </w:rPr>
  </w:style>
  <w:style w:type="character" w:customStyle="1" w:styleId="15">
    <w:name w:val="页眉 Char"/>
    <w:basedOn w:val="10"/>
    <w:link w:val="7"/>
    <w:unhideWhenUsed/>
    <w:qFormat/>
    <w:locked/>
    <w:uiPriority w:val="99"/>
    <w:rPr>
      <w:sz w:val="18"/>
    </w:rPr>
  </w:style>
  <w:style w:type="character" w:customStyle="1" w:styleId="16">
    <w:name w:val="页脚 Char"/>
    <w:basedOn w:val="10"/>
    <w:link w:val="6"/>
    <w:unhideWhenUsed/>
    <w:qFormat/>
    <w:locked/>
    <w:uiPriority w:val="99"/>
    <w:rPr>
      <w:sz w:val="18"/>
    </w:rPr>
  </w:style>
  <w:style w:type="paragraph" w:customStyle="1" w:styleId="17">
    <w:name w:val="Default"/>
    <w:unhideWhenUsed/>
    <w:qFormat/>
    <w:uiPriority w:val="99"/>
    <w:pPr>
      <w:widowControl w:val="0"/>
      <w:autoSpaceDE w:val="0"/>
      <w:autoSpaceDN w:val="0"/>
      <w:adjustRightInd w:val="0"/>
    </w:pPr>
    <w:rPr>
      <w:rFonts w:ascii="黑体" w:hAnsi="Calibri" w:eastAsia="黑体" w:cs="Times New Roman"/>
      <w:color w:val="000000"/>
      <w:sz w:val="24"/>
      <w:szCs w:val="24"/>
      <w:lang w:val="en-US" w:eastAsia="zh-CN" w:bidi="ar-SA"/>
    </w:rPr>
  </w:style>
  <w:style w:type="character" w:customStyle="1" w:styleId="18">
    <w:name w:val="页脚 Char1"/>
    <w:basedOn w:val="10"/>
    <w:link w:val="6"/>
    <w:semiHidden/>
    <w:qFormat/>
    <w:uiPriority w:val="99"/>
    <w:rPr>
      <w:rFonts w:cs="Times New Roman"/>
      <w:sz w:val="18"/>
      <w:szCs w:val="18"/>
    </w:rPr>
  </w:style>
  <w:style w:type="character" w:customStyle="1" w:styleId="19">
    <w:name w:val="页眉 Char1"/>
    <w:basedOn w:val="10"/>
    <w:link w:val="7"/>
    <w:semiHidden/>
    <w:qFormat/>
    <w:uiPriority w:val="99"/>
    <w:rPr>
      <w:rFonts w:cs="Times New Roman"/>
      <w:sz w:val="18"/>
      <w:szCs w:val="18"/>
    </w:rPr>
  </w:style>
  <w:style w:type="paragraph" w:customStyle="1" w:styleId="20">
    <w:name w:val="p0"/>
    <w:basedOn w:val="1"/>
    <w:unhideWhenUsed/>
    <w:qFormat/>
    <w:uiPriority w:val="99"/>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16</Pages>
  <Words>6269</Words>
  <Characters>6632</Characters>
  <Lines>48</Lines>
  <Paragraphs>13</Paragraphs>
  <TotalTime>6</TotalTime>
  <ScaleCrop>false</ScaleCrop>
  <LinksUpToDate>false</LinksUpToDate>
  <CharactersWithSpaces>6633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2023-03-24T04:05:00Z</dcterms:created>
  <dc:creator>Administrator</dc:creator>
  <cp:lastModifiedBy>Administrator</cp:lastModifiedBy>
  <dcterms:modified xsi:type="dcterms:W3CDTF">2023-09-16T09:02:33Z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37C3B376350A4D43A5C56F2B6D00EF9A_12</vt:lpwstr>
  </property>
</Properties>
</file>