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val="en-US" w:eastAsia="zh-CN"/>
        </w:rPr>
        <w:t>岳阳县社会福利院</w:t>
      </w:r>
      <w:r>
        <w:rPr>
          <w:rFonts w:hint="eastAsia"/>
          <w:sz w:val="84"/>
          <w:szCs w:val="84"/>
        </w:rPr>
        <w:t>（单位）部门决算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outlineLvl w:val="0"/>
        <w:rPr>
          <w:rFonts w:ascii="仿宋_GB2312" w:hAnsi="仿宋_GB2312" w:cs="仿宋_GB2312"/>
          <w:b/>
          <w:sz w:val="28"/>
          <w:szCs w:val="28"/>
        </w:rPr>
      </w:pPr>
      <w:r>
        <w:rPr>
          <w:rFonts w:hint="eastAsia"/>
          <w:b/>
          <w:sz w:val="28"/>
          <w:szCs w:val="28"/>
        </w:rPr>
        <w:t>第一部分单位概况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ind w:firstLine="700" w:firstLineChars="250"/>
        <w:rPr>
          <w:rFonts w:hint="default" w:cs="仿宋_GB2312" w:asciiTheme="minorEastAsia" w:hAnsiTheme="minorEastAsia" w:eastAsiaTheme="minorEastAsia"/>
          <w:sz w:val="28"/>
          <w:szCs w:val="28"/>
          <w:lang w:val="en-US" w:eastAsia="zh-CN"/>
        </w:rPr>
      </w:pPr>
      <w:r>
        <w:rPr>
          <w:rFonts w:hint="eastAsia" w:cs="仿宋_GB2312" w:asciiTheme="minorEastAsia" w:hAnsiTheme="minorEastAsia" w:eastAsiaTheme="minorEastAsia"/>
          <w:sz w:val="28"/>
          <w:szCs w:val="28"/>
          <w:lang w:val="en-US" w:eastAsia="zh-CN"/>
        </w:rPr>
        <w:t>三、决算单位构成</w:t>
      </w:r>
    </w:p>
    <w:p>
      <w:pPr>
        <w:pStyle w:val="10"/>
        <w:spacing w:line="500" w:lineRule="exact"/>
        <w:outlineLvl w:val="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一</w:t>
      </w:r>
      <w:r>
        <w:rPr>
          <w:rFonts w:hint="eastAsia" w:cs="仿宋_GB2312" w:asciiTheme="minorEastAsia" w:hAnsiTheme="minorEastAsia" w:eastAsiaTheme="minorEastAsia"/>
          <w:sz w:val="28"/>
          <w:szCs w:val="28"/>
        </w:rPr>
        <w:t>、部门收支决算总表</w:t>
      </w:r>
    </w:p>
    <w:p>
      <w:pPr>
        <w:pStyle w:val="10"/>
        <w:spacing w:line="50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二</w:t>
      </w:r>
      <w:r>
        <w:rPr>
          <w:rFonts w:hint="eastAsia" w:cs="仿宋_GB2312" w:asciiTheme="minorEastAsia" w:hAnsiTheme="minorEastAsia" w:eastAsiaTheme="minorEastAsia"/>
          <w:sz w:val="28"/>
          <w:szCs w:val="28"/>
        </w:rPr>
        <w:t>、部门收入决算表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lang w:eastAsia="zh-CN"/>
        </w:rPr>
        <w:t>三</w:t>
      </w:r>
      <w:r>
        <w:rPr>
          <w:rFonts w:hint="eastAsia" w:cs="仿宋_GB2312" w:asciiTheme="minorEastAsia" w:hAnsiTheme="minorEastAsia" w:eastAsiaTheme="minorEastAsia"/>
          <w:sz w:val="28"/>
          <w:szCs w:val="28"/>
        </w:rPr>
        <w:t>、部门支出决算表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outlineLvl w:val="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九、</w:t>
      </w:r>
      <w:r>
        <w:rPr>
          <w:rFonts w:hint="eastAsia" w:ascii="仿宋_GB2312" w:hAnsi="仿宋_GB2312" w:cs="仿宋_GB2312"/>
          <w:color w:val="000000"/>
          <w:kern w:val="0"/>
          <w:sz w:val="28"/>
          <w:szCs w:val="28"/>
        </w:rPr>
        <w:t>国有资本经营预算财政拨款支出决算总体情况说明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outlineLvl w:val="0"/>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outlineLvl w:val="0"/>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p>
    <w:p>
      <w:pPr>
        <w:pStyle w:val="10"/>
        <w:jc w:val="center"/>
        <w:rPr>
          <w:sz w:val="72"/>
          <w:szCs w:val="72"/>
        </w:rPr>
      </w:pPr>
      <w:r>
        <w:rPr>
          <w:rFonts w:hint="eastAsia"/>
          <w:sz w:val="84"/>
          <w:szCs w:val="84"/>
        </w:rPr>
        <w:t>第一部分</w:t>
      </w:r>
      <w:r>
        <w:rPr>
          <w:rFonts w:hint="eastAsia"/>
          <w:sz w:val="84"/>
          <w:szCs w:val="84"/>
          <w:lang w:val="en-US" w:eastAsia="zh-CN"/>
        </w:rPr>
        <w:t xml:space="preserve"> </w:t>
      </w:r>
      <w:r>
        <w:rPr>
          <w:rFonts w:hint="eastAsia"/>
          <w:sz w:val="84"/>
          <w:szCs w:val="84"/>
        </w:rPr>
        <w:t>单位概况</w:t>
      </w:r>
    </w:p>
    <w:p>
      <w:pPr>
        <w:pStyle w:val="11"/>
        <w:numPr>
          <w:ilvl w:val="0"/>
          <w:numId w:val="0"/>
        </w:numPr>
        <w:ind w:left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800" w:firstLineChars="250"/>
        <w:jc w:val="left"/>
        <w:rPr>
          <w:rFonts w:asciiTheme="minorEastAsia" w:hAnsiTheme="minorEastAsia"/>
          <w:sz w:val="32"/>
          <w:szCs w:val="32"/>
        </w:rPr>
      </w:pPr>
      <w:r>
        <w:rPr>
          <w:rFonts w:hint="eastAsia" w:asciiTheme="minorEastAsia" w:hAnsiTheme="minorEastAsia"/>
          <w:sz w:val="32"/>
          <w:szCs w:val="32"/>
        </w:rPr>
        <w:t>（一）</w:t>
      </w:r>
      <w:r>
        <w:rPr>
          <w:rFonts w:hint="eastAsia" w:eastAsia="仿宋_GB2312"/>
          <w:sz w:val="32"/>
          <w:szCs w:val="32"/>
        </w:rPr>
        <w:t>提供收养服务，弘扬救助精神。</w:t>
      </w:r>
    </w:p>
    <w:p>
      <w:pPr>
        <w:ind w:firstLine="800" w:firstLineChars="25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（二）</w:t>
      </w:r>
      <w:r>
        <w:rPr>
          <w:rFonts w:hint="eastAsia" w:eastAsia="仿宋_GB2312"/>
          <w:sz w:val="32"/>
          <w:szCs w:val="32"/>
        </w:rPr>
        <w:t>孤儿与弃婴收养，家庭无力照顾的残疾儿童收养。</w:t>
      </w:r>
    </w:p>
    <w:p>
      <w:pPr>
        <w:ind w:firstLine="960" w:firstLineChars="300"/>
        <w:jc w:val="left"/>
        <w:rPr>
          <w:rFonts w:hint="default" w:asciiTheme="minorEastAsia" w:hAnsiTheme="minorEastAsia" w:eastAsiaTheme="minorEastAsia"/>
          <w:sz w:val="32"/>
          <w:szCs w:val="32"/>
          <w:lang w:val="en-US" w:eastAsia="zh-CN"/>
        </w:rPr>
      </w:pPr>
      <w:r>
        <w:rPr>
          <w:rFonts w:hint="eastAsia" w:asciiTheme="minorEastAsia" w:hAnsiTheme="minorEastAsia"/>
          <w:sz w:val="32"/>
          <w:szCs w:val="32"/>
          <w:lang w:val="en-US" w:eastAsia="zh-CN"/>
        </w:rPr>
        <w:t>（三）</w:t>
      </w:r>
      <w:r>
        <w:rPr>
          <w:rFonts w:hint="eastAsia" w:eastAsia="仿宋_GB2312"/>
          <w:sz w:val="32"/>
          <w:szCs w:val="32"/>
        </w:rPr>
        <w:t>收养对象的康复治疗。</w:t>
      </w:r>
    </w:p>
    <w:p>
      <w:pPr>
        <w:jc w:val="left"/>
        <w:rPr>
          <w:rFonts w:ascii="仿宋_GB2312" w:eastAsia="仿宋_GB2312" w:hAnsiTheme="minorEastAsia"/>
          <w:sz w:val="28"/>
          <w:szCs w:val="32"/>
        </w:rPr>
      </w:pPr>
    </w:p>
    <w:p>
      <w:pPr>
        <w:widowControl/>
        <w:numPr>
          <w:ilvl w:val="0"/>
          <w:numId w:val="2"/>
        </w:numPr>
        <w:spacing w:line="600" w:lineRule="exact"/>
        <w:rPr>
          <w:rFonts w:hint="eastAsia" w:ascii="黑体" w:hAnsi="黑体" w:eastAsia="黑体"/>
          <w:bCs/>
          <w:kern w:val="0"/>
          <w:sz w:val="32"/>
          <w:szCs w:val="32"/>
        </w:rPr>
      </w:pPr>
      <w:r>
        <w:rPr>
          <w:rFonts w:hint="eastAsia" w:ascii="黑体" w:hAnsi="黑体" w:eastAsia="黑体"/>
          <w:bCs/>
          <w:kern w:val="0"/>
          <w:sz w:val="32"/>
          <w:szCs w:val="32"/>
        </w:rPr>
        <w:t>机构设置</w:t>
      </w:r>
    </w:p>
    <w:p>
      <w:pPr>
        <w:ind w:firstLine="640"/>
        <w:jc w:val="left"/>
        <w:rPr>
          <w:rFonts w:hint="eastAsia" w:eastAsia="仿宋_GB2312"/>
          <w:sz w:val="32"/>
          <w:szCs w:val="32"/>
          <w:lang w:eastAsia="zh-CN"/>
        </w:rPr>
      </w:pPr>
      <w:r>
        <w:rPr>
          <w:rFonts w:hint="eastAsia" w:eastAsia="仿宋_GB2312"/>
          <w:sz w:val="32"/>
          <w:szCs w:val="32"/>
        </w:rPr>
        <w:t>本单位</w:t>
      </w:r>
      <w:r>
        <w:rPr>
          <w:rFonts w:hint="eastAsia" w:eastAsia="仿宋_GB2312"/>
          <w:sz w:val="32"/>
          <w:szCs w:val="32"/>
          <w:lang w:val="en-US" w:eastAsia="zh-CN"/>
        </w:rPr>
        <w:t>系民政局属二级机构，</w:t>
      </w:r>
      <w:r>
        <w:rPr>
          <w:rFonts w:hint="eastAsia" w:eastAsia="仿宋_GB2312"/>
          <w:sz w:val="32"/>
          <w:szCs w:val="32"/>
        </w:rPr>
        <w:t>内设5个股室，分别是：办公室、财务室、护理部、带养部、后勤部。年末实有在职人数1</w:t>
      </w:r>
      <w:r>
        <w:rPr>
          <w:rFonts w:hint="eastAsia" w:eastAsia="仿宋_GB2312"/>
          <w:sz w:val="32"/>
          <w:szCs w:val="32"/>
          <w:lang w:val="en-US" w:eastAsia="zh-CN"/>
        </w:rPr>
        <w:t>0</w:t>
      </w:r>
      <w:r>
        <w:rPr>
          <w:rFonts w:hint="eastAsia" w:eastAsia="仿宋_GB2312"/>
          <w:sz w:val="32"/>
          <w:szCs w:val="32"/>
        </w:rPr>
        <w:t>人</w:t>
      </w:r>
      <w:r>
        <w:rPr>
          <w:rFonts w:hint="eastAsia" w:eastAsia="仿宋_GB2312"/>
          <w:sz w:val="32"/>
          <w:szCs w:val="32"/>
          <w:lang w:eastAsia="zh-CN"/>
        </w:rPr>
        <w:t>。</w:t>
      </w:r>
    </w:p>
    <w:p>
      <w:pPr>
        <w:numPr>
          <w:ilvl w:val="0"/>
          <w:numId w:val="2"/>
        </w:numPr>
        <w:ind w:left="0" w:leftChars="0" w:firstLine="0" w:firstLineChars="0"/>
        <w:jc w:val="left"/>
        <w:rPr>
          <w:rFonts w:hint="eastAsia" w:ascii="黑体" w:hAnsi="黑体" w:eastAsia="黑体"/>
          <w:bCs/>
          <w:kern w:val="0"/>
          <w:sz w:val="32"/>
          <w:szCs w:val="32"/>
        </w:rPr>
      </w:pPr>
      <w:r>
        <w:rPr>
          <w:rFonts w:hint="eastAsia" w:ascii="黑体" w:hAnsi="黑体" w:eastAsia="黑体"/>
          <w:bCs/>
          <w:kern w:val="0"/>
          <w:sz w:val="32"/>
          <w:szCs w:val="32"/>
        </w:rPr>
        <w:t>决算单位构成</w:t>
      </w:r>
    </w:p>
    <w:p>
      <w:pPr>
        <w:numPr>
          <w:ilvl w:val="0"/>
          <w:numId w:val="0"/>
        </w:numPr>
        <w:ind w:leftChars="0" w:firstLine="640" w:firstLineChars="200"/>
        <w:jc w:val="left"/>
        <w:rPr>
          <w:rFonts w:ascii="黑体" w:hAnsi="黑体" w:eastAsia="黑体"/>
          <w:sz w:val="32"/>
          <w:szCs w:val="32"/>
        </w:rPr>
      </w:pPr>
      <w:r>
        <w:rPr>
          <w:rFonts w:hint="eastAsia" w:eastAsia="仿宋_GB2312"/>
          <w:sz w:val="32"/>
          <w:szCs w:val="32"/>
        </w:rPr>
        <w:t>本单位没有所属</w:t>
      </w:r>
      <w:r>
        <w:rPr>
          <w:rFonts w:hint="eastAsia" w:eastAsia="仿宋_GB2312"/>
          <w:sz w:val="32"/>
          <w:szCs w:val="32"/>
          <w:lang w:val="en-US" w:eastAsia="zh-CN"/>
        </w:rPr>
        <w:t>下</w:t>
      </w:r>
      <w:r>
        <w:rPr>
          <w:rFonts w:hint="eastAsia" w:eastAsia="仿宋_GB2312"/>
          <w:sz w:val="32"/>
          <w:szCs w:val="32"/>
        </w:rPr>
        <w:t>级机构，因此本年度部门</w:t>
      </w:r>
      <w:r>
        <w:rPr>
          <w:rFonts w:hint="eastAsia" w:eastAsia="仿宋_GB2312"/>
          <w:sz w:val="32"/>
          <w:szCs w:val="32"/>
          <w:lang w:val="en-US" w:eastAsia="zh-CN"/>
        </w:rPr>
        <w:t>决</w:t>
      </w:r>
      <w:r>
        <w:rPr>
          <w:rFonts w:hint="eastAsia" w:eastAsia="仿宋_GB2312"/>
          <w:sz w:val="32"/>
          <w:szCs w:val="32"/>
        </w:rPr>
        <w:t>算仅为本级部门</w:t>
      </w:r>
      <w:r>
        <w:rPr>
          <w:rFonts w:hint="eastAsia" w:eastAsia="仿宋_GB2312"/>
          <w:sz w:val="32"/>
          <w:szCs w:val="32"/>
          <w:lang w:val="en-US" w:eastAsia="zh-CN"/>
        </w:rPr>
        <w:t>决</w:t>
      </w:r>
      <w:r>
        <w:rPr>
          <w:rFonts w:hint="eastAsia" w:eastAsia="仿宋_GB2312"/>
          <w:sz w:val="32"/>
          <w:szCs w:val="32"/>
        </w:rPr>
        <w:t>算。</w:t>
      </w: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r>
        <w:rPr>
          <w:rFonts w:hint="eastAsia"/>
          <w:sz w:val="72"/>
          <w:szCs w:val="72"/>
        </w:rPr>
        <w:t>第二部分</w:t>
      </w:r>
    </w:p>
    <w:p>
      <w:pPr>
        <w:jc w:val="center"/>
        <w:rPr>
          <w:sz w:val="72"/>
          <w:szCs w:val="72"/>
        </w:rPr>
      </w:pPr>
    </w:p>
    <w:p>
      <w:pPr>
        <w:jc w:val="center"/>
        <w:outlineLvl w:val="0"/>
        <w:rPr>
          <w:sz w:val="72"/>
          <w:szCs w:val="72"/>
        </w:rPr>
      </w:pPr>
      <w:r>
        <w:rPr>
          <w:rFonts w:hint="eastAsia"/>
          <w:sz w:val="72"/>
          <w:szCs w:val="72"/>
        </w:rPr>
        <w:t>部门决算表</w:t>
      </w:r>
    </w:p>
    <w:p>
      <w:pPr>
        <w:jc w:val="center"/>
        <w:rPr>
          <w:rFonts w:hint="eastAsia" w:eastAsiaTheme="minorEastAsia"/>
          <w:sz w:val="72"/>
          <w:szCs w:val="72"/>
          <w:lang w:eastAsia="zh-CN"/>
        </w:rPr>
      </w:pPr>
      <w:r>
        <w:rPr>
          <w:rFonts w:hint="eastAsia"/>
          <w:sz w:val="72"/>
          <w:szCs w:val="72"/>
          <w:lang w:eastAsia="zh-CN"/>
        </w:rPr>
        <w:t>（见附件）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outlineLvl w:val="0"/>
        <w:rPr>
          <w:rFonts w:hint="eastAsia"/>
          <w:sz w:val="70"/>
          <w:szCs w:val="70"/>
        </w:rPr>
      </w:pPr>
      <w:r>
        <w:rPr>
          <w:sz w:val="70"/>
          <w:szCs w:val="70"/>
        </w:rPr>
        <w:t>20</w:t>
      </w:r>
      <w:r>
        <w:rPr>
          <w:rFonts w:hint="eastAsia"/>
          <w:sz w:val="70"/>
          <w:szCs w:val="70"/>
        </w:rPr>
        <w:t>21年度部门决算情况说明</w:t>
      </w:r>
    </w:p>
    <w:p>
      <w:pPr>
        <w:pStyle w:val="10"/>
        <w:jc w:val="center"/>
        <w:outlineLvl w:val="0"/>
        <w:rPr>
          <w:rFonts w:hint="eastAsia"/>
          <w:sz w:val="70"/>
          <w:szCs w:val="70"/>
        </w:rPr>
      </w:pPr>
    </w:p>
    <w:p>
      <w:pPr>
        <w:pStyle w:val="10"/>
        <w:outlineLvl w:val="0"/>
        <w:rPr>
          <w:rFonts w:hAnsi="黑体"/>
          <w:b/>
          <w:sz w:val="32"/>
          <w:szCs w:val="32"/>
        </w:rPr>
      </w:pPr>
      <w:r>
        <w:rPr>
          <w:rFonts w:hint="eastAsia" w:hAnsi="黑体"/>
          <w:b/>
          <w:sz w:val="32"/>
          <w:szCs w:val="32"/>
        </w:rPr>
        <w:t>一、收入支出决算总体情况说明</w:t>
      </w:r>
    </w:p>
    <w:p>
      <w:pPr>
        <w:pStyle w:val="10"/>
        <w:ind w:firstLine="640" w:firstLineChars="200"/>
        <w:rPr>
          <w:rFonts w:ascii="宋体" w:hAnsi="宋体" w:eastAsia="宋体"/>
          <w:sz w:val="32"/>
          <w:szCs w:val="32"/>
        </w:rPr>
      </w:pPr>
      <w:r>
        <w:rPr>
          <w:rFonts w:hint="eastAsia" w:ascii="宋体" w:hAnsi="宋体" w:eastAsia="宋体"/>
          <w:sz w:val="32"/>
          <w:szCs w:val="32"/>
        </w:rPr>
        <w:t>2021年度收入总计</w:t>
      </w:r>
      <w:r>
        <w:rPr>
          <w:rFonts w:hint="eastAsia" w:ascii="宋体" w:hAnsi="宋体" w:eastAsia="宋体"/>
          <w:sz w:val="32"/>
          <w:szCs w:val="32"/>
          <w:lang w:val="en-US" w:eastAsia="zh-CN"/>
        </w:rPr>
        <w:t>220.67</w:t>
      </w:r>
      <w:r>
        <w:rPr>
          <w:rFonts w:hint="eastAsia" w:ascii="宋体" w:hAnsi="宋体" w:eastAsia="宋体"/>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lang w:val="en-US" w:eastAsia="zh-CN"/>
        </w:rPr>
        <w:t>含年初结转和结余资金51.09万元</w:t>
      </w:r>
      <w:r>
        <w:rPr>
          <w:rFonts w:hint="eastAsia" w:ascii="宋体" w:hAnsi="宋体" w:eastAsia="宋体"/>
          <w:b w:val="0"/>
          <w:bCs w:val="0"/>
          <w:color w:val="auto"/>
          <w:sz w:val="28"/>
          <w:szCs w:val="28"/>
        </w:rPr>
        <w:t>）</w:t>
      </w:r>
      <w:r>
        <w:rPr>
          <w:rFonts w:hint="eastAsia" w:ascii="宋体" w:hAnsi="宋体" w:eastAsia="宋体"/>
          <w:sz w:val="32"/>
          <w:szCs w:val="32"/>
        </w:rPr>
        <w:t>，与上年相比，减</w:t>
      </w:r>
      <w:r>
        <w:rPr>
          <w:rFonts w:hint="eastAsia" w:ascii="宋体" w:hAnsi="宋体" w:eastAsia="宋体"/>
          <w:sz w:val="32"/>
          <w:szCs w:val="32"/>
          <w:lang w:val="en-US" w:eastAsia="zh-CN"/>
        </w:rPr>
        <w:t>少103.54</w:t>
      </w:r>
      <w:r>
        <w:rPr>
          <w:rFonts w:hint="eastAsia" w:ascii="宋体" w:hAnsi="宋体" w:eastAsia="宋体"/>
          <w:sz w:val="32"/>
          <w:szCs w:val="32"/>
        </w:rPr>
        <w:t>万元，减少</w:t>
      </w:r>
      <w:r>
        <w:rPr>
          <w:rFonts w:hint="eastAsia" w:ascii="宋体" w:hAnsi="宋体" w:eastAsia="宋体"/>
          <w:sz w:val="32"/>
          <w:szCs w:val="32"/>
          <w:lang w:val="en-US" w:eastAsia="zh-CN"/>
        </w:rPr>
        <w:t>31.94</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结算时间差异所致</w:t>
      </w:r>
      <w:r>
        <w:rPr>
          <w:rFonts w:hint="eastAsia" w:ascii="宋体" w:hAnsi="宋体" w:eastAsia="宋体"/>
          <w:sz w:val="32"/>
          <w:szCs w:val="32"/>
        </w:rPr>
        <w:t>。</w:t>
      </w:r>
    </w:p>
    <w:p>
      <w:pPr>
        <w:pStyle w:val="10"/>
        <w:ind w:firstLine="640" w:firstLineChars="200"/>
        <w:rPr>
          <w:rFonts w:asciiTheme="minorEastAsia" w:hAnsiTheme="minorEastAsia" w:eastAsiaTheme="minorEastAsia"/>
          <w:sz w:val="32"/>
          <w:szCs w:val="32"/>
        </w:rPr>
      </w:pPr>
      <w:r>
        <w:rPr>
          <w:rFonts w:hint="eastAsia" w:ascii="宋体" w:hAnsi="宋体" w:eastAsia="宋体"/>
          <w:sz w:val="32"/>
          <w:szCs w:val="32"/>
        </w:rPr>
        <w:t>2021年度支出总计</w:t>
      </w:r>
      <w:r>
        <w:rPr>
          <w:rFonts w:hint="eastAsia" w:ascii="宋体" w:hAnsi="宋体" w:eastAsia="宋体"/>
          <w:sz w:val="32"/>
          <w:szCs w:val="32"/>
          <w:lang w:val="en-US" w:eastAsia="zh-CN"/>
        </w:rPr>
        <w:t>220.67</w:t>
      </w:r>
      <w:r>
        <w:rPr>
          <w:rFonts w:hint="eastAsia" w:ascii="宋体" w:hAnsi="宋体" w:eastAsia="宋体"/>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lang w:val="en-US" w:eastAsia="zh-CN"/>
        </w:rPr>
        <w:t>含年末结转和结余资金4.03万元</w:t>
      </w:r>
      <w:r>
        <w:rPr>
          <w:rFonts w:hint="eastAsia" w:ascii="宋体" w:hAnsi="宋体" w:eastAsia="宋体"/>
          <w:b w:val="0"/>
          <w:bCs w:val="0"/>
          <w:color w:val="auto"/>
          <w:sz w:val="28"/>
          <w:szCs w:val="28"/>
        </w:rPr>
        <w:t>）</w:t>
      </w:r>
      <w:r>
        <w:rPr>
          <w:rFonts w:hint="eastAsia" w:ascii="宋体" w:hAnsi="宋体" w:eastAsia="宋体"/>
          <w:sz w:val="32"/>
          <w:szCs w:val="32"/>
        </w:rPr>
        <w:t>，与上年相比，减</w:t>
      </w:r>
      <w:r>
        <w:rPr>
          <w:rFonts w:hint="eastAsia" w:ascii="宋体" w:hAnsi="宋体" w:eastAsia="宋体"/>
          <w:sz w:val="32"/>
          <w:szCs w:val="32"/>
          <w:lang w:val="en-US" w:eastAsia="zh-CN"/>
        </w:rPr>
        <w:t>少103.54</w:t>
      </w:r>
      <w:r>
        <w:rPr>
          <w:rFonts w:hint="eastAsia" w:ascii="宋体" w:hAnsi="宋体" w:eastAsia="宋体"/>
          <w:sz w:val="32"/>
          <w:szCs w:val="32"/>
        </w:rPr>
        <w:t>万元，减少</w:t>
      </w:r>
      <w:r>
        <w:rPr>
          <w:rFonts w:hint="eastAsia" w:ascii="宋体" w:hAnsi="宋体" w:eastAsia="宋体"/>
          <w:sz w:val="32"/>
          <w:szCs w:val="32"/>
          <w:lang w:val="en-US" w:eastAsia="zh-CN"/>
        </w:rPr>
        <w:t>31.94</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结算时间差异所致</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收入合计</w:t>
      </w:r>
      <w:r>
        <w:rPr>
          <w:rFonts w:hint="eastAsia" w:asciiTheme="minorEastAsia" w:hAnsiTheme="minorEastAsia" w:eastAsiaTheme="minorEastAsia"/>
          <w:sz w:val="32"/>
          <w:szCs w:val="32"/>
          <w:lang w:val="en-US" w:eastAsia="zh-CN"/>
        </w:rPr>
        <w:t>169.59</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lang w:val="en-US" w:eastAsia="zh-CN"/>
        </w:rPr>
        <w:t>不含年初结转和结余资金</w:t>
      </w:r>
      <w:r>
        <w:rPr>
          <w:rFonts w:hint="eastAsia" w:ascii="宋体" w:hAnsi="宋体" w:eastAsia="宋体"/>
          <w:b w:val="0"/>
          <w:bCs w:val="0"/>
          <w:color w:val="auto"/>
          <w:sz w:val="28"/>
          <w:szCs w:val="28"/>
        </w:rPr>
        <w:t>），</w:t>
      </w:r>
      <w:r>
        <w:rPr>
          <w:rFonts w:hint="eastAsia" w:asciiTheme="minorEastAsia" w:hAnsiTheme="minorEastAsia" w:eastAsiaTheme="minorEastAsia"/>
          <w:sz w:val="32"/>
          <w:szCs w:val="32"/>
        </w:rPr>
        <w:t>其中：财政拨款收入</w:t>
      </w:r>
      <w:r>
        <w:rPr>
          <w:rFonts w:hint="eastAsia" w:asciiTheme="minorEastAsia" w:hAnsiTheme="minorEastAsia" w:eastAsiaTheme="minorEastAsia"/>
          <w:sz w:val="32"/>
          <w:szCs w:val="32"/>
          <w:lang w:val="en-US" w:eastAsia="zh-CN"/>
        </w:rPr>
        <w:t>100.7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59.38</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68.89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40.62</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三、支出决算情况说明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支出合计</w:t>
      </w:r>
      <w:r>
        <w:rPr>
          <w:rFonts w:hint="eastAsia" w:asciiTheme="minorEastAsia" w:hAnsiTheme="minorEastAsia" w:eastAsiaTheme="minorEastAsia"/>
          <w:sz w:val="32"/>
          <w:szCs w:val="32"/>
          <w:lang w:val="en-US" w:eastAsia="zh-CN"/>
        </w:rPr>
        <w:t>216.64</w:t>
      </w:r>
      <w:r>
        <w:rPr>
          <w:rFonts w:hint="eastAsia" w:asciiTheme="minorEastAsia" w:hAnsiTheme="minorEastAsia" w:eastAsiaTheme="minorEastAsia"/>
          <w:sz w:val="32"/>
          <w:szCs w:val="32"/>
        </w:rPr>
        <w:t>万元</w:t>
      </w:r>
      <w:r>
        <w:rPr>
          <w:rFonts w:hint="eastAsia" w:ascii="宋体" w:hAnsi="宋体" w:eastAsia="宋体"/>
          <w:b w:val="0"/>
          <w:bCs w:val="0"/>
          <w:color w:val="auto"/>
          <w:sz w:val="28"/>
          <w:szCs w:val="28"/>
        </w:rPr>
        <w:t>（</w:t>
      </w:r>
      <w:r>
        <w:rPr>
          <w:rFonts w:hint="eastAsia" w:ascii="宋体" w:hAnsi="宋体" w:eastAsia="宋体"/>
          <w:sz w:val="32"/>
          <w:szCs w:val="32"/>
          <w:lang w:val="en-US" w:eastAsia="zh-CN"/>
        </w:rPr>
        <w:t>不含年末结转和结余资金</w:t>
      </w:r>
      <w:r>
        <w:rPr>
          <w:rFonts w:hint="eastAsia" w:ascii="宋体" w:hAnsi="宋体" w:eastAsia="宋体"/>
          <w:b w:val="0"/>
          <w:bCs w:val="0"/>
          <w:color w:val="auto"/>
          <w:sz w:val="28"/>
          <w:szCs w:val="28"/>
        </w:rPr>
        <w:t>），</w:t>
      </w:r>
      <w:r>
        <w:rPr>
          <w:rFonts w:hint="eastAsia" w:asciiTheme="minorEastAsia" w:hAnsiTheme="minorEastAsia" w:eastAsiaTheme="minorEastAsia"/>
          <w:sz w:val="32"/>
          <w:szCs w:val="32"/>
        </w:rPr>
        <w:t>其中：基本支出</w:t>
      </w:r>
      <w:r>
        <w:rPr>
          <w:rFonts w:hint="eastAsia" w:asciiTheme="minorEastAsia" w:hAnsiTheme="minorEastAsia" w:eastAsiaTheme="minorEastAsia"/>
          <w:sz w:val="32"/>
          <w:szCs w:val="32"/>
          <w:lang w:val="en-US" w:eastAsia="zh-CN"/>
        </w:rPr>
        <w:t>144.51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66.71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72.13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33.29</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宋体" w:hAnsi="宋体" w:eastAsia="宋体"/>
          <w:sz w:val="32"/>
          <w:szCs w:val="32"/>
        </w:rPr>
      </w:pPr>
      <w:r>
        <w:rPr>
          <w:rFonts w:hint="eastAsia" w:ascii="宋体" w:hAnsi="宋体" w:eastAsia="宋体"/>
          <w:sz w:val="32"/>
          <w:szCs w:val="32"/>
        </w:rPr>
        <w:t>2021年度财政拨款收入合计</w:t>
      </w:r>
      <w:r>
        <w:rPr>
          <w:rFonts w:hint="eastAsia" w:ascii="宋体" w:hAnsi="宋体" w:eastAsia="宋体"/>
          <w:sz w:val="32"/>
          <w:szCs w:val="32"/>
          <w:lang w:val="en-US" w:eastAsia="zh-CN"/>
        </w:rPr>
        <w:t>100.7</w:t>
      </w:r>
      <w:r>
        <w:rPr>
          <w:rFonts w:hint="eastAsia" w:ascii="宋体" w:hAnsi="宋体" w:eastAsia="宋体"/>
          <w:sz w:val="32"/>
          <w:szCs w:val="32"/>
        </w:rPr>
        <w:t>万元（不含年初财政拨款结转和结余资金），与上年相比，减少</w:t>
      </w:r>
      <w:r>
        <w:rPr>
          <w:rFonts w:hint="eastAsia" w:ascii="宋体" w:hAnsi="宋体" w:eastAsia="宋体"/>
          <w:sz w:val="32"/>
          <w:szCs w:val="32"/>
          <w:lang w:val="en-US" w:eastAsia="zh-CN"/>
        </w:rPr>
        <w:t>3.76</w:t>
      </w:r>
      <w:r>
        <w:rPr>
          <w:rFonts w:hint="eastAsia" w:ascii="宋体" w:hAnsi="宋体" w:eastAsia="宋体"/>
          <w:sz w:val="32"/>
          <w:szCs w:val="32"/>
        </w:rPr>
        <w:t>万元,减少</w:t>
      </w:r>
      <w:r>
        <w:rPr>
          <w:rFonts w:hint="eastAsia" w:ascii="宋体" w:hAnsi="宋体" w:eastAsia="宋体"/>
          <w:sz w:val="32"/>
          <w:szCs w:val="32"/>
          <w:lang w:val="en-US" w:eastAsia="zh-CN"/>
        </w:rPr>
        <w:t>3.6</w:t>
      </w:r>
      <w:r>
        <w:rPr>
          <w:rFonts w:hint="eastAsia" w:ascii="宋体" w:hAnsi="宋体" w:eastAsia="宋体"/>
          <w:sz w:val="32"/>
          <w:szCs w:val="32"/>
        </w:rPr>
        <w:t>%，主要是因为</w:t>
      </w:r>
      <w:r>
        <w:rPr>
          <w:rFonts w:hint="eastAsia" w:ascii="宋体" w:hAnsi="宋体" w:eastAsia="宋体"/>
          <w:sz w:val="32"/>
          <w:szCs w:val="32"/>
          <w:lang w:val="en-US" w:eastAsia="zh-CN"/>
        </w:rPr>
        <w:t>人员调出所致</w:t>
      </w:r>
      <w:r>
        <w:rPr>
          <w:rFonts w:hint="eastAsia" w:ascii="宋体" w:hAnsi="宋体" w:eastAsia="宋体"/>
          <w:sz w:val="32"/>
          <w:szCs w:val="32"/>
        </w:rPr>
        <w:t>。</w:t>
      </w:r>
    </w:p>
    <w:p>
      <w:pPr>
        <w:pStyle w:val="10"/>
        <w:ind w:firstLine="640"/>
        <w:rPr>
          <w:rFonts w:ascii="宋体" w:hAnsi="宋体" w:eastAsia="宋体"/>
          <w:b/>
          <w:bCs/>
          <w:color w:val="FF0000"/>
          <w:sz w:val="28"/>
          <w:szCs w:val="28"/>
        </w:rPr>
      </w:pPr>
      <w:r>
        <w:rPr>
          <w:rFonts w:hint="eastAsia" w:ascii="宋体" w:hAnsi="宋体" w:eastAsia="宋体"/>
          <w:sz w:val="32"/>
          <w:szCs w:val="32"/>
        </w:rPr>
        <w:t>2021年度财政拨款支出合计</w:t>
      </w:r>
      <w:r>
        <w:rPr>
          <w:rFonts w:hint="eastAsia" w:ascii="宋体" w:hAnsi="宋体" w:eastAsia="宋体"/>
          <w:sz w:val="32"/>
          <w:szCs w:val="32"/>
          <w:lang w:val="en-US" w:eastAsia="zh-CN"/>
        </w:rPr>
        <w:t>109.16</w:t>
      </w:r>
      <w:r>
        <w:rPr>
          <w:rFonts w:hint="eastAsia" w:ascii="宋体" w:hAnsi="宋体" w:eastAsia="宋体"/>
          <w:sz w:val="32"/>
          <w:szCs w:val="32"/>
        </w:rPr>
        <w:t>万元（不含年末财政拨款结转和结余资金），与上年相比，增加</w:t>
      </w:r>
      <w:r>
        <w:rPr>
          <w:rFonts w:hint="eastAsia" w:ascii="宋体" w:hAnsi="宋体" w:eastAsia="宋体"/>
          <w:sz w:val="32"/>
          <w:szCs w:val="32"/>
          <w:lang w:val="en-US" w:eastAsia="zh-CN"/>
        </w:rPr>
        <w:t>11.75</w:t>
      </w:r>
      <w:r>
        <w:rPr>
          <w:rFonts w:hint="eastAsia" w:ascii="宋体" w:hAnsi="宋体" w:eastAsia="宋体"/>
          <w:sz w:val="32"/>
          <w:szCs w:val="32"/>
        </w:rPr>
        <w:t>万元,增长</w:t>
      </w:r>
      <w:r>
        <w:rPr>
          <w:rFonts w:hint="eastAsia" w:ascii="宋体" w:hAnsi="宋体" w:eastAsia="宋体"/>
          <w:sz w:val="32"/>
          <w:szCs w:val="32"/>
          <w:lang w:val="en-US" w:eastAsia="zh-CN"/>
        </w:rPr>
        <w:t>12.06</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结算时间差异原因</w:t>
      </w:r>
      <w:r>
        <w:rPr>
          <w:rFonts w:hint="eastAsia" w:ascii="宋体" w:hAnsi="宋体" w:eastAsia="宋体"/>
          <w:sz w:val="32"/>
          <w:szCs w:val="32"/>
        </w:rPr>
        <w:t>。</w:t>
      </w:r>
    </w:p>
    <w:p>
      <w:pPr>
        <w:pStyle w:val="10"/>
        <w:outlineLvl w:val="0"/>
        <w:rPr>
          <w:rFonts w:hAnsi="黑体"/>
          <w:b/>
          <w:sz w:val="32"/>
          <w:szCs w:val="32"/>
        </w:rPr>
      </w:pPr>
      <w:r>
        <w:rPr>
          <w:rFonts w:hint="eastAsia" w:hAnsi="黑体"/>
          <w:b/>
          <w:sz w:val="32"/>
          <w:szCs w:val="32"/>
        </w:rPr>
        <w:t>五、一般公共预算财政拨款支出决算情况说明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109.16</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50.39</w:t>
      </w:r>
      <w:r>
        <w:rPr>
          <w:rFonts w:hint="eastAsia" w:asciiTheme="minorEastAsia" w:hAnsiTheme="minorEastAsia" w:eastAsiaTheme="minorEastAsia"/>
          <w:sz w:val="32"/>
          <w:szCs w:val="32"/>
        </w:rPr>
        <w:t>%，与上年相比，财政拨款支出增加</w:t>
      </w:r>
      <w:r>
        <w:rPr>
          <w:rFonts w:hint="eastAsia" w:ascii="宋体" w:hAnsi="宋体" w:eastAsia="宋体"/>
          <w:sz w:val="32"/>
          <w:szCs w:val="32"/>
          <w:lang w:val="en-US" w:eastAsia="zh-CN"/>
        </w:rPr>
        <w:t>11.75</w:t>
      </w:r>
      <w:r>
        <w:rPr>
          <w:rFonts w:hint="eastAsia" w:ascii="宋体" w:hAnsi="宋体" w:eastAsia="宋体"/>
          <w:sz w:val="32"/>
          <w:szCs w:val="32"/>
        </w:rPr>
        <w:t>万元,增长</w:t>
      </w:r>
      <w:r>
        <w:rPr>
          <w:rFonts w:hint="eastAsia" w:ascii="宋体" w:hAnsi="宋体" w:eastAsia="宋体"/>
          <w:sz w:val="32"/>
          <w:szCs w:val="32"/>
          <w:lang w:val="en-US" w:eastAsia="zh-CN"/>
        </w:rPr>
        <w:t>12.06</w:t>
      </w:r>
      <w:r>
        <w:rPr>
          <w:rFonts w:hint="eastAsia" w:ascii="宋体" w:hAnsi="宋体" w:eastAsia="宋体"/>
          <w:sz w:val="32"/>
          <w:szCs w:val="32"/>
        </w:rPr>
        <w:t>%，主要是因为</w:t>
      </w:r>
      <w:r>
        <w:rPr>
          <w:rFonts w:hint="eastAsia" w:ascii="宋体" w:hAnsi="宋体" w:eastAsia="宋体"/>
          <w:sz w:val="32"/>
          <w:szCs w:val="32"/>
          <w:lang w:val="en-US" w:eastAsia="zh-CN"/>
        </w:rPr>
        <w:t>结算时间差异原因</w:t>
      </w:r>
      <w:r>
        <w:rPr>
          <w:rFonts w:hint="eastAsia" w:ascii="宋体" w:hAnsi="宋体" w:eastAsia="宋体"/>
          <w:sz w:val="32"/>
          <w:szCs w:val="32"/>
        </w:rPr>
        <w:t>。</w:t>
      </w:r>
    </w:p>
    <w:p>
      <w:pPr>
        <w:pStyle w:val="10"/>
        <w:ind w:firstLine="480" w:firstLineChars="1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109.16</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109.16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0"/>
        <w:ind w:firstLine="800" w:firstLineChars="25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100.7</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109.16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108.4</w:t>
      </w:r>
      <w:r>
        <w:rPr>
          <w:rFonts w:hint="eastAsia" w:asciiTheme="minorEastAsia" w:hAnsiTheme="minorEastAsia" w:eastAsiaTheme="minorEastAsia"/>
          <w:sz w:val="32"/>
          <w:szCs w:val="32"/>
        </w:rPr>
        <w:t>%，其中：</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民政管理事务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行政运行</w:t>
      </w:r>
      <w:r>
        <w:rPr>
          <w:rFonts w:hint="eastAsia" w:asciiTheme="minorEastAsia" w:hAnsiTheme="minorEastAsia" w:eastAsiaTheme="minorEastAsia"/>
          <w:sz w:val="32"/>
          <w:szCs w:val="32"/>
        </w:rPr>
        <w:t>（项）。</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90.7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76.55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84.4</w:t>
      </w:r>
      <w:r>
        <w:rPr>
          <w:rFonts w:hint="eastAsia" w:asciiTheme="minorEastAsia" w:hAnsiTheme="minorEastAsia" w:eastAsiaTheme="minorEastAsia"/>
          <w:sz w:val="32"/>
          <w:szCs w:val="32"/>
        </w:rPr>
        <w:t>%，决算数（小于）年初预算数的主要原因是：</w:t>
      </w:r>
      <w:r>
        <w:rPr>
          <w:rFonts w:hint="eastAsia" w:asciiTheme="minorEastAsia" w:hAnsiTheme="minorEastAsia" w:eastAsiaTheme="minorEastAsia"/>
          <w:sz w:val="32"/>
          <w:szCs w:val="32"/>
          <w:lang w:val="en-US" w:eastAsia="zh-CN"/>
        </w:rPr>
        <w:t>年末部分条据未及时报账所致。</w:t>
      </w:r>
    </w:p>
    <w:p>
      <w:pPr>
        <w:pStyle w:val="10"/>
        <w:ind w:firstLine="800" w:firstLineChars="250"/>
        <w:outlineLvl w:val="2"/>
        <w:rPr>
          <w:rFonts w:asciiTheme="minorEastAsia" w:hAnsiTheme="minorEastAsia" w:eastAsiaTheme="minorEastAsia"/>
          <w:sz w:val="32"/>
          <w:szCs w:val="32"/>
        </w:rPr>
      </w:pP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民政管理事务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社会福利事业单位</w:t>
      </w:r>
      <w:r>
        <w:rPr>
          <w:rFonts w:hint="eastAsia" w:asciiTheme="minorEastAsia" w:hAnsiTheme="minorEastAsia" w:eastAsiaTheme="minorEastAsia"/>
          <w:sz w:val="32"/>
          <w:szCs w:val="32"/>
        </w:rPr>
        <w:t>（项）。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32.61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项目资金预算不足原因。</w:t>
      </w:r>
    </w:p>
    <w:p>
      <w:pPr>
        <w:pStyle w:val="10"/>
        <w:outlineLvl w:val="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76.55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66.36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86.69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主要包括基本工资、津贴补贴、奖金、其他社会保障缴费、伙食补助费、绩效工资、机关事业单位基本养老保险缴费、职业年金缴费、其他工资福利支出、医疗费、奖励金、住房公积金、其他对个人和家庭的补助支出</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10.19</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13.31</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办公费、印刷费、水费、电费、咨询费、邮电费、物业管理费、差旅费、维修（护）费、租赁费、培训费、劳务费、工会经费、其他交通费用、其他商品和服务支出等</w:t>
      </w:r>
    </w:p>
    <w:p>
      <w:pPr>
        <w:pStyle w:val="10"/>
        <w:outlineLvl w:val="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因公出国（境）费支出预算为0.00万元，支出决算为0.00万元，决算数等于预算数的主要是疫情影响，今年未安排出国出境。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与上年持平</w:t>
      </w:r>
      <w:r>
        <w:rPr>
          <w:rFonts w:hint="eastAsia" w:asciiTheme="minorEastAsia" w:hAnsiTheme="minorEastAsia" w:eastAsiaTheme="minorEastAsia"/>
          <w:sz w:val="32"/>
          <w:szCs w:val="32"/>
        </w:rPr>
        <w:t>。</w:t>
      </w:r>
    </w:p>
    <w:p>
      <w:pPr>
        <w:pStyle w:val="10"/>
        <w:outlineLvl w:val="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0"/>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p>
    <w:p>
      <w:pPr>
        <w:ind w:firstLine="800" w:firstLineChars="250"/>
        <w:rPr>
          <w:rFonts w:ascii="宋体" w:hAnsi="宋体" w:eastAsia="宋体"/>
          <w:b/>
          <w:bCs/>
          <w:color w:val="FF000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w:t>
      </w:r>
      <w:r>
        <w:rPr>
          <w:rFonts w:hint="eastAsia" w:asciiTheme="minorEastAsia" w:hAnsiTheme="minorEastAsia"/>
          <w:sz w:val="32"/>
          <w:szCs w:val="32"/>
          <w:lang w:val="en-US" w:eastAsia="zh-CN"/>
        </w:rPr>
        <w:t>1</w:t>
      </w:r>
      <w:r>
        <w:rPr>
          <w:rFonts w:hint="eastAsia" w:asciiTheme="minorEastAsia" w:hAnsiTheme="minorEastAsia"/>
          <w:sz w:val="32"/>
          <w:szCs w:val="32"/>
        </w:rPr>
        <w:t>年12月31日，我单位开支财政拨款的公务用车保有量为</w:t>
      </w:r>
      <w:r>
        <w:rPr>
          <w:rFonts w:hint="eastAsia" w:asciiTheme="minorEastAsia" w:hAnsiTheme="minorEastAsia"/>
          <w:sz w:val="32"/>
          <w:szCs w:val="32"/>
          <w:lang w:val="en-US" w:eastAsia="zh-CN"/>
        </w:rPr>
        <w:t>0</w:t>
      </w:r>
      <w:r>
        <w:rPr>
          <w:rFonts w:hint="eastAsia" w:asciiTheme="minorEastAsia" w:hAnsiTheme="minorEastAsia"/>
          <w:sz w:val="32"/>
          <w:szCs w:val="32"/>
        </w:rPr>
        <w:t>辆。</w:t>
      </w:r>
    </w:p>
    <w:p>
      <w:pPr>
        <w:pStyle w:val="10"/>
        <w:outlineLvl w:val="0"/>
        <w:rPr>
          <w:rFonts w:hAnsi="黑体"/>
          <w:b/>
          <w:sz w:val="32"/>
          <w:szCs w:val="32"/>
        </w:rPr>
      </w:pPr>
      <w:r>
        <w:rPr>
          <w:rFonts w:hint="eastAsia" w:hAnsi="黑体"/>
          <w:b/>
          <w:sz w:val="32"/>
          <w:szCs w:val="32"/>
        </w:rPr>
        <w:t>八、政府性基金预算收入支出决算情况</w:t>
      </w:r>
    </w:p>
    <w:p>
      <w:pPr>
        <w:pStyle w:val="10"/>
        <w:ind w:firstLine="800" w:firstLineChars="250"/>
        <w:rPr>
          <w:rFonts w:hint="eastAsia" w:asciiTheme="minorEastAsia" w:hAnsiTheme="minorEastAsia" w:eastAsiaTheme="minorEastAsia"/>
          <w:i/>
          <w:color w:val="FF0000"/>
          <w:sz w:val="32"/>
          <w:szCs w:val="32"/>
          <w:lang w:eastAsia="zh-CN"/>
        </w:rPr>
      </w:pPr>
      <w:r>
        <w:rPr>
          <w:rFonts w:hint="eastAsia" w:asciiTheme="minorEastAsia" w:hAnsiTheme="minorEastAsia" w:eastAsiaTheme="minorEastAsia"/>
          <w:sz w:val="32"/>
          <w:szCs w:val="32"/>
          <w:lang w:val="en-US" w:eastAsia="zh-CN"/>
        </w:rPr>
        <w:t>2021年度</w:t>
      </w:r>
      <w:r>
        <w:rPr>
          <w:rFonts w:hint="eastAsia" w:asciiTheme="minorEastAsia" w:hAnsiTheme="minorEastAsia" w:eastAsiaTheme="minorEastAsia"/>
          <w:sz w:val="32"/>
          <w:szCs w:val="32"/>
        </w:rPr>
        <w:t>本单位无政府性基金收支</w:t>
      </w:r>
      <w:r>
        <w:rPr>
          <w:rFonts w:hint="eastAsia" w:asciiTheme="minorEastAsia" w:hAnsiTheme="minorEastAsia" w:eastAsiaTheme="minorEastAsia"/>
          <w:sz w:val="32"/>
          <w:szCs w:val="32"/>
          <w:lang w:eastAsia="zh-CN"/>
        </w:rPr>
        <w:t>。</w:t>
      </w:r>
    </w:p>
    <w:p>
      <w:pPr>
        <w:pStyle w:val="10"/>
        <w:numPr>
          <w:ilvl w:val="0"/>
          <w:numId w:val="3"/>
        </w:numPr>
        <w:outlineLvl w:val="0"/>
        <w:rPr>
          <w:rFonts w:hint="eastAsia" w:hAnsi="黑体"/>
          <w:b/>
          <w:sz w:val="32"/>
          <w:szCs w:val="32"/>
          <w:lang w:eastAsia="zh-CN"/>
        </w:rPr>
      </w:pPr>
      <w:r>
        <w:rPr>
          <w:rFonts w:hint="eastAsia" w:hAnsi="黑体"/>
          <w:b/>
          <w:sz w:val="32"/>
          <w:szCs w:val="32"/>
          <w:lang w:eastAsia="zh-CN"/>
        </w:rPr>
        <w:t>国有资本经营预算财政拨款支出决算情况</w:t>
      </w:r>
    </w:p>
    <w:p>
      <w:pPr>
        <w:pStyle w:val="10"/>
        <w:ind w:firstLine="800" w:firstLineChars="25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2021年度本单位无国有资本经营</w:t>
      </w:r>
      <w:r>
        <w:rPr>
          <w:rFonts w:hint="eastAsia" w:asciiTheme="minorEastAsia" w:hAnsiTheme="minorEastAsia" w:eastAsiaTheme="minorEastAsia"/>
          <w:sz w:val="32"/>
          <w:szCs w:val="32"/>
          <w:lang w:eastAsia="zh-CN"/>
        </w:rPr>
        <w:t>预算财政拨款支出。</w:t>
      </w:r>
    </w:p>
    <w:p>
      <w:pPr>
        <w:pStyle w:val="10"/>
        <w:outlineLvl w:val="0"/>
        <w:rPr>
          <w:rFonts w:hAnsi="黑体"/>
          <w:b/>
          <w:sz w:val="32"/>
          <w:szCs w:val="32"/>
        </w:rPr>
      </w:pPr>
      <w:r>
        <w:rPr>
          <w:rFonts w:hint="eastAsia" w:hAnsi="黑体"/>
          <w:b/>
          <w:sz w:val="32"/>
          <w:szCs w:val="32"/>
          <w:lang w:eastAsia="zh-CN"/>
        </w:rPr>
        <w:t>十</w:t>
      </w:r>
      <w:r>
        <w:rPr>
          <w:rFonts w:hint="eastAsia" w:hAnsi="黑体"/>
          <w:b/>
          <w:sz w:val="32"/>
          <w:szCs w:val="32"/>
        </w:rPr>
        <w:t>、</w:t>
      </w:r>
      <w:r>
        <w:rPr>
          <w:rFonts w:hint="eastAsia" w:hAnsi="黑体"/>
          <w:b/>
          <w:sz w:val="32"/>
          <w:szCs w:val="32"/>
          <w:lang w:eastAsia="zh-CN"/>
        </w:rPr>
        <w:t>关于</w:t>
      </w:r>
      <w:r>
        <w:rPr>
          <w:rFonts w:hint="eastAsia" w:hAnsi="黑体"/>
          <w:b/>
          <w:sz w:val="32"/>
          <w:szCs w:val="32"/>
        </w:rPr>
        <w:t>机关运行经费支出说明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10.19</w:t>
      </w:r>
      <w:r>
        <w:rPr>
          <w:rFonts w:hint="eastAsia" w:asciiTheme="minorEastAsia" w:hAnsiTheme="minorEastAsia" w:eastAsiaTheme="minorEastAsia"/>
          <w:sz w:val="32"/>
          <w:szCs w:val="32"/>
        </w:rPr>
        <w:t>万元，比</w:t>
      </w:r>
      <w:r>
        <w:rPr>
          <w:rFonts w:hint="eastAsia" w:asciiTheme="minorEastAsia" w:hAnsiTheme="minorEastAsia" w:eastAsiaTheme="minorEastAsia"/>
          <w:sz w:val="32"/>
          <w:szCs w:val="32"/>
          <w:lang w:eastAsia="zh-CN"/>
        </w:rPr>
        <w:t>年初预算</w:t>
      </w:r>
      <w:bookmarkStart w:id="0" w:name="_GoBack"/>
      <w:bookmarkEnd w:id="0"/>
      <w:r>
        <w:rPr>
          <w:rFonts w:hint="eastAsia" w:asciiTheme="minorEastAsia" w:hAnsiTheme="minorEastAsia" w:eastAsiaTheme="minorEastAsia"/>
          <w:sz w:val="32"/>
          <w:szCs w:val="32"/>
        </w:rPr>
        <w:t>数减少</w:t>
      </w:r>
      <w:r>
        <w:rPr>
          <w:rFonts w:hint="eastAsia" w:asciiTheme="minorEastAsia" w:hAnsiTheme="minorEastAsia" w:eastAsiaTheme="minorEastAsia"/>
          <w:sz w:val="32"/>
          <w:szCs w:val="32"/>
          <w:lang w:val="en-US" w:eastAsia="zh-CN"/>
        </w:rPr>
        <w:t>8.24</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44.71</w:t>
      </w:r>
      <w:r>
        <w:rPr>
          <w:rFonts w:hint="eastAsia" w:asciiTheme="minorEastAsia" w:hAnsiTheme="minorEastAsia" w:eastAsiaTheme="minorEastAsia"/>
          <w:sz w:val="32"/>
          <w:szCs w:val="32"/>
        </w:rPr>
        <w:t>%。主要原因是主要原因是：</w:t>
      </w:r>
      <w:r>
        <w:rPr>
          <w:rFonts w:hint="eastAsia" w:asciiTheme="minorEastAsia" w:hAnsiTheme="minorEastAsia" w:eastAsiaTheme="minorEastAsia"/>
          <w:sz w:val="32"/>
          <w:szCs w:val="32"/>
          <w:lang w:val="en-US" w:eastAsia="zh-CN"/>
        </w:rPr>
        <w:t>认真贯彻落实中央“八项规定”和省委市委的“规定办法”精神和厉行节约要求，进一步从严控制经费开支。</w:t>
      </w:r>
    </w:p>
    <w:p>
      <w:pPr>
        <w:pStyle w:val="10"/>
        <w:outlineLvl w:val="0"/>
        <w:rPr>
          <w:rFonts w:hAnsi="黑体"/>
          <w:b/>
          <w:sz w:val="32"/>
          <w:szCs w:val="32"/>
        </w:rPr>
      </w:pPr>
      <w:r>
        <w:rPr>
          <w:rFonts w:hint="eastAsia" w:hAnsi="黑体"/>
          <w:b/>
          <w:sz w:val="32"/>
          <w:szCs w:val="32"/>
          <w:lang w:eastAsia="zh-CN"/>
        </w:rPr>
        <w:t>十一</w:t>
      </w:r>
      <w:r>
        <w:rPr>
          <w:rFonts w:hint="eastAsia" w:hAnsi="黑体"/>
          <w:b/>
          <w:sz w:val="32"/>
          <w:szCs w:val="32"/>
        </w:rPr>
        <w:t>、一般性支出情况说明</w:t>
      </w:r>
    </w:p>
    <w:p>
      <w:pPr>
        <w:pStyle w:val="10"/>
        <w:ind w:firstLine="640" w:firstLineChars="200"/>
        <w:rPr>
          <w:rFonts w:hint="eastAsia" w:asciiTheme="minorEastAsia" w:hAnsiTheme="minorEastAsia" w:eastAsiaTheme="minorEastAsia"/>
          <w:color w:val="FF0000"/>
          <w:sz w:val="32"/>
          <w:szCs w:val="32"/>
          <w:lang w:eastAsia="zh-CN"/>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万元，；举办节庆、晚会、论坛、赛事活动，开支</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年度政府采购支出总额</w:t>
      </w:r>
      <w:r>
        <w:rPr>
          <w:rFonts w:hint="eastAsia" w:asciiTheme="minorEastAsia" w:hAnsiTheme="minorEastAsia" w:eastAsiaTheme="minorEastAsia"/>
          <w:sz w:val="32"/>
          <w:szCs w:val="32"/>
          <w:lang w:val="en-US" w:eastAsia="zh-CN"/>
        </w:rPr>
        <w:t>0.98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0.98</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0.98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0.98</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outlineLvl w:val="0"/>
        <w:rPr>
          <w:rFonts w:hAnsi="黑体"/>
          <w:b/>
          <w:sz w:val="32"/>
          <w:szCs w:val="32"/>
        </w:rPr>
      </w:pPr>
      <w:r>
        <w:rPr>
          <w:rFonts w:hint="eastAsia" w:hAnsi="黑体"/>
          <w:b/>
          <w:sz w:val="32"/>
          <w:szCs w:val="32"/>
        </w:rPr>
        <w:t>十</w:t>
      </w:r>
      <w:r>
        <w:rPr>
          <w:rFonts w:hint="eastAsia" w:hAnsi="黑体"/>
          <w:b/>
          <w:sz w:val="32"/>
          <w:szCs w:val="32"/>
          <w:lang w:eastAsia="zh-CN"/>
        </w:rPr>
        <w:t>四</w:t>
      </w:r>
      <w:r>
        <w:rPr>
          <w:rFonts w:hint="eastAsia" w:hAnsi="黑体"/>
          <w:b/>
          <w:sz w:val="32"/>
          <w:szCs w:val="32"/>
        </w:rPr>
        <w:t>、2021年度预算绩效情况说明</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根据《中共中央 国务院关于全面实施预算绩效管理的意见》（中发〔2018〕34号）、《中共湖南省委办公厅 湖南省人民政府办公厅关于全面实施预算绩效管理的实施意见（湘办发〔2019〕10号）文件精神，结合《</w:t>
      </w:r>
      <w:r>
        <w:rPr>
          <w:rFonts w:hint="eastAsia" w:cs="黑体" w:asciiTheme="minorEastAsia" w:hAnsiTheme="minorEastAsia"/>
          <w:color w:val="000000"/>
          <w:kern w:val="0"/>
          <w:sz w:val="32"/>
          <w:szCs w:val="32"/>
          <w:lang w:val="en-US" w:eastAsia="zh-CN"/>
        </w:rPr>
        <w:t>岳</w:t>
      </w:r>
      <w:r>
        <w:rPr>
          <w:rFonts w:hint="eastAsia" w:cs="黑体" w:asciiTheme="minorEastAsia" w:hAnsiTheme="minorEastAsia"/>
          <w:color w:val="000000"/>
          <w:kern w:val="0"/>
          <w:sz w:val="32"/>
          <w:szCs w:val="32"/>
        </w:rPr>
        <w:t>阳市财政局关于开展202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年度部门绩效自评工作的通知》要求，为进一步规范财政资金管理，强化绩效和责任意识，切实提高财政资金使用效益，我单位对202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年度部门整体支出、单位项目支出、重点（专项）项目支出进行了绩效自评。</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部门整体支出绩效自评得分</w:t>
      </w:r>
      <w:r>
        <w:rPr>
          <w:rFonts w:hint="eastAsia" w:cs="黑体" w:asciiTheme="minorEastAsia" w:hAnsiTheme="minorEastAsia"/>
          <w:color w:val="000000"/>
          <w:kern w:val="0"/>
          <w:sz w:val="32"/>
          <w:szCs w:val="32"/>
          <w:lang w:val="en-US" w:eastAsia="zh-CN"/>
        </w:rPr>
        <w:t>95</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项目支出绩效自评得分</w:t>
      </w:r>
      <w:r>
        <w:rPr>
          <w:rFonts w:hint="eastAsia" w:cs="黑体" w:asciiTheme="minorEastAsia" w:hAnsiTheme="minorEastAsia"/>
          <w:color w:val="000000"/>
          <w:kern w:val="0"/>
          <w:sz w:val="32"/>
          <w:szCs w:val="32"/>
          <w:lang w:val="en-US" w:eastAsia="zh-CN"/>
        </w:rPr>
        <w:t>93</w:t>
      </w:r>
      <w:r>
        <w:rPr>
          <w:rFonts w:hint="eastAsia" w:cs="黑体" w:asciiTheme="minorEastAsia" w:hAnsiTheme="minorEastAsia"/>
          <w:color w:val="000000"/>
          <w:kern w:val="0"/>
          <w:sz w:val="32"/>
          <w:szCs w:val="32"/>
        </w:rPr>
        <w:t>，评价等级为“</w:t>
      </w:r>
      <w:r>
        <w:rPr>
          <w:rFonts w:hint="eastAsia" w:cs="黑体" w:asciiTheme="minorEastAsia" w:hAnsiTheme="minorEastAsia"/>
          <w:color w:val="000000"/>
          <w:kern w:val="0"/>
          <w:sz w:val="32"/>
          <w:szCs w:val="32"/>
          <w:lang w:val="en-US" w:eastAsia="zh-CN"/>
        </w:rPr>
        <w:t>优秀</w:t>
      </w:r>
      <w:r>
        <w:rPr>
          <w:rFonts w:hint="eastAsia" w:cs="黑体" w:asciiTheme="minorEastAsia" w:hAnsiTheme="minorEastAsia"/>
          <w:color w:val="000000"/>
          <w:kern w:val="0"/>
          <w:sz w:val="32"/>
          <w:szCs w:val="32"/>
        </w:rPr>
        <w:t>”；</w:t>
      </w:r>
    </w:p>
    <w:p>
      <w:pPr>
        <w:pStyle w:val="10"/>
        <w:ind w:firstLine="640" w:firstLineChars="200"/>
        <w:rPr>
          <w:rFonts w:hint="eastAsia" w:ascii="宋体" w:hAnsi="宋体" w:eastAsia="宋体"/>
          <w:sz w:val="32"/>
          <w:szCs w:val="32"/>
        </w:rPr>
      </w:pPr>
      <w:r>
        <w:rPr>
          <w:rFonts w:hint="eastAsia" w:ascii="宋体" w:hAnsi="宋体" w:eastAsia="宋体"/>
          <w:sz w:val="32"/>
          <w:szCs w:val="32"/>
        </w:rPr>
        <w:t>已按市财政局统一要求在我单位门户网站公开。</w:t>
      </w:r>
    </w:p>
    <w:p>
      <w:pPr>
        <w:autoSpaceDE w:val="0"/>
        <w:autoSpaceDN w:val="0"/>
        <w:adjustRightInd w:val="0"/>
        <w:ind w:firstLine="640" w:firstLineChars="200"/>
        <w:jc w:val="left"/>
        <w:rPr>
          <w:rFonts w:hint="eastAsia" w:cs="黑体" w:asciiTheme="minorEastAsia" w:hAnsiTheme="minorEastAsia"/>
          <w:color w:val="000000"/>
          <w:kern w:val="0"/>
          <w:sz w:val="32"/>
          <w:szCs w:val="32"/>
        </w:rPr>
      </w:pPr>
    </w:p>
    <w:p>
      <w:pPr>
        <w:autoSpaceDE w:val="0"/>
        <w:autoSpaceDN w:val="0"/>
        <w:adjustRightInd w:val="0"/>
        <w:ind w:firstLine="640" w:firstLineChars="200"/>
        <w:jc w:val="left"/>
        <w:rPr>
          <w:rFonts w:hint="eastAsia" w:cs="黑体" w:asciiTheme="minorEastAsia" w:hAnsiTheme="minorEastAsia"/>
          <w:color w:val="000000"/>
          <w:kern w:val="0"/>
          <w:sz w:val="32"/>
          <w:szCs w:val="32"/>
          <w:lang w:val="en-US" w:eastAsia="zh-CN"/>
        </w:rPr>
      </w:pPr>
      <w:r>
        <w:rPr>
          <w:rFonts w:hint="eastAsia" w:cs="黑体" w:asciiTheme="minorEastAsia" w:hAnsiTheme="minorEastAsia"/>
          <w:color w:val="000000"/>
          <w:kern w:val="0"/>
          <w:sz w:val="32"/>
          <w:szCs w:val="32"/>
          <w:lang w:val="en-US" w:eastAsia="zh-CN"/>
        </w:rPr>
        <w:t>报告见附件。</w:t>
      </w:r>
    </w:p>
    <w:p>
      <w:pPr>
        <w:autoSpaceDE w:val="0"/>
        <w:autoSpaceDN w:val="0"/>
        <w:adjustRightInd w:val="0"/>
        <w:ind w:firstLine="640" w:firstLineChars="200"/>
        <w:jc w:val="left"/>
        <w:rPr>
          <w:rFonts w:hint="default" w:cs="黑体" w:asciiTheme="minorEastAsia" w:hAnsiTheme="minorEastAsia"/>
          <w:color w:val="000000"/>
          <w:kern w:val="0"/>
          <w:sz w:val="32"/>
          <w:szCs w:val="32"/>
          <w:lang w:val="en-US" w:eastAsia="zh-CN"/>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cs="黑体" w:asciiTheme="minorEastAsia" w:hAnsiTheme="minorEastAsia"/>
          <w:color w:val="000000"/>
          <w:kern w:val="0"/>
          <w:sz w:val="32"/>
          <w:szCs w:val="32"/>
        </w:rPr>
      </w:pPr>
      <w:r>
        <w:rPr>
          <w:rFonts w:hint="eastAsia"/>
          <w:sz w:val="72"/>
          <w:szCs w:val="72"/>
        </w:rPr>
        <w:t>第四部分</w:t>
      </w:r>
      <w:r>
        <w:rPr>
          <w:rFonts w:hint="eastAsia"/>
          <w:sz w:val="72"/>
          <w:szCs w:val="72"/>
          <w:lang w:val="en-US" w:eastAsia="zh-CN"/>
        </w:rPr>
        <w:t xml:space="preserve"> </w:t>
      </w:r>
      <w:r>
        <w:rPr>
          <w:rFonts w:hint="eastAsia" w:ascii="黑体" w:eastAsia="黑体" w:cs="黑体"/>
          <w:color w:val="000000"/>
          <w:kern w:val="0"/>
          <w:sz w:val="70"/>
          <w:szCs w:val="70"/>
        </w:rPr>
        <w:t>名词解释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1、财政拨款收入：指本级财政当年拨付的资金。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2、其他收入：指除上述“财政拨款收入”、“上级补助收入”、“事业收入”、“经营收入”、“附属单位上缴收入”等以外的收入。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3、社会保障和就业支出：是指用于社会保障和就业方面的支出，包括保障机构正常运转、完成日常和特定的工作任务或事业发展目标的支出。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4、其他支出:是指用于其他方面的支出,包括福利彩票公益金支出.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5、基本支出：指保障机构正常运转、完成支日常工作任务而发生的人员支出和公用支出。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6、项目支出：指在基本支出之外为完成特定行政任务和事业发展目标所发生的支出。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7、机关运行经费：是指各部门的公用经费，包括办公费、印刷费、邮电费、差旅费、会议费、福利费、日常维修费、专用资料及一般设备购置费、办公用房水电费、办公用房取暖费、办公用房物业管理费、公务用车运行维护费以及其他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2" w:lineRule="atLeast"/>
        <w:ind w:left="0" w:right="0" w:firstLine="420"/>
        <w:jc w:val="both"/>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8、“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outlineLvl w:val="0"/>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ind w:firstLine="1920" w:firstLineChars="600"/>
        <w:jc w:val="left"/>
        <w:rPr>
          <w:rFonts w:cs="黑体" w:asciiTheme="minorEastAsia" w:hAnsiTheme="minorEastAsia"/>
          <w:b/>
          <w:color w:val="000000"/>
          <w:kern w:val="0"/>
          <w:sz w:val="32"/>
          <w:szCs w:val="32"/>
        </w:rPr>
      </w:pPr>
    </w:p>
    <w:p>
      <w:pPr>
        <w:ind w:firstLine="3200" w:firstLineChars="1000"/>
        <w:jc w:val="left"/>
        <w:rPr>
          <w:rFonts w:hint="eastAsia" w:cs="黑体" w:asciiTheme="minorEastAsia" w:hAnsiTheme="minorEastAsia" w:eastAsiaTheme="minorEastAsia"/>
          <w:b/>
          <w:color w:val="000000"/>
          <w:kern w:val="0"/>
          <w:sz w:val="32"/>
          <w:szCs w:val="32"/>
          <w:lang w:eastAsia="zh-CN"/>
        </w:rPr>
      </w:pPr>
      <w:r>
        <w:rPr>
          <w:rFonts w:hint="eastAsia" w:cs="黑体" w:asciiTheme="minorEastAsia" w:hAnsiTheme="minorEastAsia"/>
          <w:b/>
          <w:color w:val="000000"/>
          <w:kern w:val="0"/>
          <w:sz w:val="32"/>
          <w:szCs w:val="32"/>
        </w:rPr>
        <w:t>2021年度部门决算公开</w:t>
      </w:r>
      <w:r>
        <w:rPr>
          <w:rFonts w:hint="eastAsia" w:cs="黑体" w:asciiTheme="minorEastAsia" w:hAnsiTheme="minorEastAsia"/>
          <w:b/>
          <w:color w:val="000000"/>
          <w:kern w:val="0"/>
          <w:sz w:val="32"/>
          <w:szCs w:val="32"/>
          <w:lang w:eastAsia="zh-CN"/>
        </w:rPr>
        <w:t>表</w:t>
      </w:r>
    </w:p>
    <w:p>
      <w:pPr>
        <w:ind w:firstLine="2560" w:firstLineChars="8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2021年度部门整体支出绩效评价报告</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F6CB5F"/>
    <w:multiLevelType w:val="singleLevel"/>
    <w:tmpl w:val="F3F6CB5F"/>
    <w:lvl w:ilvl="0" w:tentative="0">
      <w:start w:val="9"/>
      <w:numFmt w:val="chineseCounting"/>
      <w:suff w:val="nothing"/>
      <w:lvlText w:val="%1、"/>
      <w:lvlJc w:val="left"/>
      <w:rPr>
        <w:rFonts w:hint="eastAsia"/>
      </w:rPr>
    </w:lvl>
  </w:abstractNum>
  <w:abstractNum w:abstractNumId="1">
    <w:nsid w:val="0F706760"/>
    <w:multiLevelType w:val="singleLevel"/>
    <w:tmpl w:val="0F706760"/>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0Mjg0Mjc4NjAwODI5ODE0MmU0N2E2YzI5NzYyMGM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655690D"/>
    <w:rsid w:val="06C02F40"/>
    <w:rsid w:val="06E9698E"/>
    <w:rsid w:val="0AF93AA3"/>
    <w:rsid w:val="0D241410"/>
    <w:rsid w:val="0E5D73A8"/>
    <w:rsid w:val="0F927BB6"/>
    <w:rsid w:val="115F7498"/>
    <w:rsid w:val="120866E8"/>
    <w:rsid w:val="16881393"/>
    <w:rsid w:val="17871E76"/>
    <w:rsid w:val="18D56924"/>
    <w:rsid w:val="1A221FAD"/>
    <w:rsid w:val="1A4B61EF"/>
    <w:rsid w:val="1ACF123B"/>
    <w:rsid w:val="1B8C2C7D"/>
    <w:rsid w:val="21C35171"/>
    <w:rsid w:val="24AC1206"/>
    <w:rsid w:val="25166DB0"/>
    <w:rsid w:val="25641E0C"/>
    <w:rsid w:val="27F324C1"/>
    <w:rsid w:val="2F03396A"/>
    <w:rsid w:val="305C0D2B"/>
    <w:rsid w:val="345E559A"/>
    <w:rsid w:val="37A12C32"/>
    <w:rsid w:val="38FD77E2"/>
    <w:rsid w:val="3AD313BB"/>
    <w:rsid w:val="40CE2A45"/>
    <w:rsid w:val="410E402C"/>
    <w:rsid w:val="416074D3"/>
    <w:rsid w:val="422717CD"/>
    <w:rsid w:val="45912BCF"/>
    <w:rsid w:val="468A7F52"/>
    <w:rsid w:val="47AA4406"/>
    <w:rsid w:val="492F386E"/>
    <w:rsid w:val="4E1C4782"/>
    <w:rsid w:val="4E433071"/>
    <w:rsid w:val="4FA02F61"/>
    <w:rsid w:val="52ED230C"/>
    <w:rsid w:val="52F74411"/>
    <w:rsid w:val="54A86D6F"/>
    <w:rsid w:val="56D61FAD"/>
    <w:rsid w:val="58564D34"/>
    <w:rsid w:val="5A5E20BE"/>
    <w:rsid w:val="5B94004E"/>
    <w:rsid w:val="5CB05D00"/>
    <w:rsid w:val="5E6C3022"/>
    <w:rsid w:val="5EBD78BB"/>
    <w:rsid w:val="619877E4"/>
    <w:rsid w:val="61F47A98"/>
    <w:rsid w:val="623F14BF"/>
    <w:rsid w:val="65080DC3"/>
    <w:rsid w:val="658F7E46"/>
    <w:rsid w:val="65BC5EF0"/>
    <w:rsid w:val="666C0487"/>
    <w:rsid w:val="679921E2"/>
    <w:rsid w:val="69FC2167"/>
    <w:rsid w:val="6A1F58CE"/>
    <w:rsid w:val="6B494825"/>
    <w:rsid w:val="70237E69"/>
    <w:rsid w:val="70344547"/>
    <w:rsid w:val="709D3F39"/>
    <w:rsid w:val="71865CE2"/>
    <w:rsid w:val="728A4AD8"/>
    <w:rsid w:val="72EA09D9"/>
    <w:rsid w:val="733C304D"/>
    <w:rsid w:val="77514D8E"/>
    <w:rsid w:val="79E70499"/>
    <w:rsid w:val="79F956AA"/>
    <w:rsid w:val="7E017279"/>
    <w:rsid w:val="7EFA4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3475</Words>
  <Characters>3829</Characters>
  <Lines>69</Lines>
  <Paragraphs>19</Paragraphs>
  <TotalTime>2</TotalTime>
  <ScaleCrop>false</ScaleCrop>
  <LinksUpToDate>false</LinksUpToDate>
  <CharactersWithSpaces>3835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2023-09-16T04:14:06Z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F02B128AA82A46C5BBFCA38797D7B28A</vt:lpwstr>
  </property>
</Properties>
</file>