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lang w:val="en-US" w:eastAsia="zh-CN"/>
        </w:rPr>
        <w:t>22</w:t>
      </w:r>
      <w:r>
        <w:rPr>
          <w:rFonts w:hint="eastAsia" w:eastAsia="方正小标宋简体"/>
          <w:bCs/>
          <w:sz w:val="46"/>
          <w:szCs w:val="46"/>
        </w:rPr>
        <w:t>年度部门整体支出绩效评价</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岳阳县城市管理执法大队</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416003</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2023</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9</w:t>
      </w:r>
      <w:r>
        <w:rPr>
          <w:rFonts w:hint="eastAsia" w:eastAsia="仿宋_GB2312"/>
          <w:sz w:val="32"/>
        </w:rPr>
        <w:t>月</w:t>
      </w:r>
      <w:r>
        <w:rPr>
          <w:rFonts w:eastAsia="仿宋_GB2312"/>
          <w:sz w:val="32"/>
        </w:rPr>
        <w:t xml:space="preserve">  </w:t>
      </w:r>
      <w:r>
        <w:rPr>
          <w:rFonts w:hint="eastAsia" w:eastAsia="仿宋_GB2312"/>
          <w:sz w:val="32"/>
          <w:lang w:val="en-US" w:eastAsia="zh-CN"/>
        </w:rPr>
        <w:t>25</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游涌</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07307638689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市容市貌秩序管理、市场规范经营管理、户外广告，门店招牌整治、殡葬管理等。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单位全年平稳运行，资金使用安全，收支平衡。</w:t>
            </w:r>
          </w:p>
          <w:p>
            <w:pPr>
              <w:numPr>
                <w:ilvl w:val="0"/>
                <w:numId w:val="0"/>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岳阳县城市管理执法大队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1111.97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1097.06</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kern w:val="2"/>
                <w:sz w:val="24"/>
                <w:szCs w:val="24"/>
                <w:lang w:val="en-US" w:eastAsia="zh-CN" w:bidi="ar-SA"/>
              </w:rPr>
              <w:t>岳阳县城市管理执法大队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1099.65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1099.65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813.96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285.68</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12.32</w:t>
            </w: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岳阳县城市管理执法大队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ind w:left="480" w:hanging="480" w:hanging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kern w:val="2"/>
                <w:sz w:val="24"/>
                <w:szCs w:val="24"/>
                <w:lang w:val="en-US" w:eastAsia="zh-CN" w:bidi="ar-SA"/>
              </w:rPr>
              <w:t>岳阳县城市管理执法大队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262.08</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262.08</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3：清理违规占道、乱堆乱放</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2000余处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4：规范车辆停放</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3000余辆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5：规范出店经营</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600余家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工资发放及时率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每月30日前足额发放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指标2：</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FF0000"/>
                <w:sz w:val="24"/>
                <w:szCs w:val="24"/>
                <w:lang w:eastAsia="zh-CN"/>
              </w:rPr>
            </w:pPr>
            <w:r>
              <w:rPr>
                <w:rFonts w:hint="eastAsia" w:ascii="仿宋_GB2312" w:hAnsi="仿宋_GB2312" w:eastAsia="仿宋_GB2312" w:cs="仿宋_GB2312"/>
                <w:color w:val="000000"/>
                <w:sz w:val="24"/>
                <w:lang w:val="en-US" w:eastAsia="zh-CN"/>
              </w:rPr>
              <w:t>1099.65</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指标1：加强行业监管，树</w:t>
            </w:r>
            <w:r>
              <w:rPr>
                <w:rFonts w:hint="eastAsia" w:ascii="仿宋" w:hAnsi="仿宋" w:eastAsia="仿宋" w:cs="仿宋"/>
                <w:b w:val="0"/>
                <w:bCs w:val="0"/>
                <w:color w:val="000000"/>
                <w:sz w:val="24"/>
                <w:szCs w:val="24"/>
                <w:lang w:eastAsia="zh-CN"/>
              </w:rPr>
              <w:t>立城管执法</w:t>
            </w:r>
            <w:r>
              <w:rPr>
                <w:rFonts w:hint="eastAsia" w:ascii="仿宋" w:hAnsi="仿宋" w:eastAsia="仿宋" w:cs="仿宋"/>
                <w:b w:val="0"/>
                <w:bCs w:val="0"/>
                <w:color w:val="000000"/>
                <w:sz w:val="24"/>
                <w:szCs w:val="24"/>
              </w:rPr>
              <w:t>窗口单位形象</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指标1：严控非生产性开支，严肃财务纪律，遵守财经制度，规范财务报账手续，实现经济效益最大化牌创造的经济效益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不断提高市容环境整体管理水平</w:t>
            </w:r>
            <w:r>
              <w:rPr>
                <w:rFonts w:hint="eastAsia" w:ascii="仿宋" w:hAnsi="仿宋" w:eastAsia="仿宋" w:cs="仿宋"/>
                <w:b w:val="0"/>
                <w:bCs w:val="0"/>
                <w:color w:val="000000"/>
                <w:sz w:val="24"/>
                <w:szCs w:val="24"/>
              </w:rPr>
              <w:t>、提高人文居住环境</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游涌</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大队长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岳阳县城市管理执法大队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付丹枫</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大队书记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岳阳县城市管理执法大队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方志远</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岳阳县城市管理执法大队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刘勇波</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副大队长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kern w:val="2"/>
                <w:sz w:val="24"/>
                <w:szCs w:val="24"/>
                <w:lang w:val="en-US" w:eastAsia="zh-CN" w:bidi="ar-SA"/>
              </w:rPr>
              <w:t>岳阳县城市管理执法大队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张亚</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kern w:val="2"/>
                <w:sz w:val="24"/>
                <w:szCs w:val="24"/>
                <w:lang w:val="en-US" w:eastAsia="zh-CN" w:bidi="ar-SA"/>
              </w:rPr>
              <w:t>岳阳县城市管理执法大队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9"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张亚</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0730-7638689</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bidi w:val="0"/>
              <w:adjustRightInd/>
              <w:snapToGrid/>
              <w:spacing w:line="460" w:lineRule="exact"/>
              <w:jc w:val="center"/>
              <w:rPr>
                <w:rFonts w:ascii="黑体" w:hAnsi="黑体" w:eastAsia="黑体" w:cs="黑体"/>
                <w:bCs/>
                <w:sz w:val="28"/>
                <w:szCs w:val="28"/>
                <w:highlight w:val="none"/>
              </w:rPr>
            </w:pPr>
            <w:r>
              <w:rPr>
                <w:rFonts w:hint="eastAsia" w:ascii="黑体" w:hAnsi="黑体" w:eastAsia="黑体" w:cs="黑体"/>
                <w:bCs/>
                <w:sz w:val="28"/>
                <w:szCs w:val="28"/>
                <w:highlight w:val="none"/>
              </w:rPr>
              <w:t>五、评价报告综述（文字部分）</w:t>
            </w:r>
          </w:p>
          <w:p>
            <w:pPr>
              <w:keepNext w:val="0"/>
              <w:keepLines w:val="0"/>
              <w:pageBreakBefore w:val="0"/>
              <w:widowControl/>
              <w:kinsoku/>
              <w:wordWrap/>
              <w:overflowPunct/>
              <w:topLinePunct w:val="0"/>
              <w:autoSpaceDE/>
              <w:bidi w:val="0"/>
              <w:adjustRightInd/>
              <w:snapToGrid/>
              <w:spacing w:line="460" w:lineRule="exact"/>
              <w:ind w:firstLine="1920" w:firstLineChars="600"/>
              <w:jc w:val="both"/>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eastAsia="zh-CN"/>
              </w:rPr>
              <w:t>岳阳县城市管理执法大队</w:t>
            </w:r>
            <w:r>
              <w:rPr>
                <w:rFonts w:hint="eastAsia" w:ascii="黑体" w:hAnsi="黑体" w:eastAsia="黑体" w:cs="黑体"/>
                <w:bCs/>
                <w:sz w:val="32"/>
                <w:szCs w:val="32"/>
                <w:highlight w:val="none"/>
                <w:lang w:val="en-US" w:eastAsia="zh-CN"/>
              </w:rPr>
              <w:t>2022年评价报告综述</w:t>
            </w:r>
          </w:p>
          <w:p>
            <w:pPr>
              <w:keepNext w:val="0"/>
              <w:keepLines w:val="0"/>
              <w:pageBreakBefore w:val="0"/>
              <w:widowControl/>
              <w:kinsoku/>
              <w:wordWrap/>
              <w:overflowPunct/>
              <w:topLinePunct w:val="0"/>
              <w:autoSpaceDE/>
              <w:bidi w:val="0"/>
              <w:adjustRightInd/>
              <w:snapToGrid/>
              <w:spacing w:line="460" w:lineRule="exact"/>
              <w:ind w:firstLine="562" w:firstLineChars="200"/>
              <w:outlineLvl w:val="9"/>
              <w:rPr>
                <w:rFonts w:hint="eastAsia" w:ascii="黑体" w:hAnsi="黑体" w:eastAsia="黑体" w:cs="黑体"/>
                <w:b/>
                <w:bCs/>
                <w:color w:val="000000" w:themeColor="text1"/>
                <w:kern w:val="0"/>
                <w:sz w:val="28"/>
                <w:szCs w:val="28"/>
                <w:highlight w:val="none"/>
                <w14:textFill>
                  <w14:solidFill>
                    <w14:schemeClr w14:val="tx1"/>
                  </w14:solidFill>
                </w14:textFill>
              </w:rPr>
            </w:pPr>
            <w:r>
              <w:rPr>
                <w:rFonts w:hint="eastAsia" w:ascii="黑体" w:hAnsi="黑体" w:eastAsia="黑体" w:cs="黑体"/>
                <w:b/>
                <w:bCs/>
                <w:color w:val="000000" w:themeColor="text1"/>
                <w:kern w:val="0"/>
                <w:sz w:val="28"/>
                <w:szCs w:val="28"/>
                <w:highlight w:val="none"/>
                <w14:textFill>
                  <w14:solidFill>
                    <w14:schemeClr w14:val="tx1"/>
                  </w14:solidFill>
                </w14:textFill>
              </w:rPr>
              <w:t>一、</w:t>
            </w:r>
            <w:r>
              <w:rPr>
                <w:rFonts w:hint="eastAsia" w:ascii="黑体" w:hAnsi="黑体" w:eastAsia="黑体" w:cs="黑体"/>
                <w:bCs/>
                <w:color w:val="000000" w:themeColor="text1"/>
                <w:sz w:val="28"/>
                <w:szCs w:val="28"/>
                <w:highlight w:val="none"/>
                <w14:textFill>
                  <w14:solidFill>
                    <w14:schemeClr w14:val="tx1"/>
                  </w14:solidFill>
                </w14:textFill>
              </w:rPr>
              <w:t>部门（单位）概况</w:t>
            </w:r>
          </w:p>
          <w:p>
            <w:pPr>
              <w:widowControl/>
              <w:spacing w:line="600" w:lineRule="exact"/>
              <w:outlineLvl w:val="0"/>
              <w:rPr>
                <w:rFonts w:hint="eastAsia" w:ascii="仿宋" w:hAnsi="仿宋" w:eastAsia="仿宋" w:cs="仿宋"/>
                <w:sz w:val="32"/>
                <w:szCs w:val="32"/>
                <w:highlight w:val="none"/>
              </w:rPr>
            </w:pPr>
            <w:r>
              <w:rPr>
                <w:rFonts w:hint="eastAsia" w:ascii="仿宋" w:hAnsi="仿宋" w:eastAsia="仿宋" w:cs="仿宋"/>
                <w:color w:val="000000" w:themeColor="text1"/>
                <w:kern w:val="0"/>
                <w:sz w:val="32"/>
                <w:szCs w:val="32"/>
                <w:highlight w:val="none"/>
                <w14:textFill>
                  <w14:solidFill>
                    <w14:schemeClr w14:val="tx1"/>
                  </w14:solidFill>
                </w14:textFill>
              </w:rPr>
              <w:t>（一）</w:t>
            </w:r>
            <w:r>
              <w:rPr>
                <w:rFonts w:hint="eastAsia" w:ascii="仿宋" w:hAnsi="仿宋" w:eastAsia="仿宋" w:cs="仿宋"/>
                <w:bCs/>
                <w:color w:val="000000" w:themeColor="text1"/>
                <w:sz w:val="32"/>
                <w:szCs w:val="32"/>
                <w:highlight w:val="none"/>
                <w14:textFill>
                  <w14:solidFill>
                    <w14:schemeClr w14:val="tx1"/>
                  </w14:solidFill>
                </w14:textFill>
              </w:rPr>
              <w:t>部门（单位）基本情况</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仿宋"/>
                <w:sz w:val="32"/>
                <w:szCs w:val="32"/>
                <w:highlight w:val="none"/>
              </w:rPr>
              <w:t>行使</w:t>
            </w:r>
            <w:r>
              <w:rPr>
                <w:rFonts w:hint="eastAsia" w:ascii="仿宋" w:hAnsi="仿宋" w:eastAsia="仿宋" w:cs="仿宋"/>
                <w:sz w:val="32"/>
                <w:szCs w:val="32"/>
                <w:highlight w:val="none"/>
                <w:lang w:eastAsia="zh-CN"/>
              </w:rPr>
              <w:t>城区</w:t>
            </w:r>
            <w:r>
              <w:rPr>
                <w:rFonts w:hint="eastAsia" w:ascii="仿宋" w:hAnsi="仿宋" w:eastAsia="仿宋" w:cs="仿宋"/>
                <w:sz w:val="32"/>
                <w:szCs w:val="32"/>
                <w:highlight w:val="none"/>
              </w:rPr>
              <w:t>市容环境卫生管理方面法律、法规、规章规定的全部行政处罚权。</w:t>
            </w:r>
          </w:p>
          <w:p>
            <w:pPr>
              <w:widowControl/>
              <w:spacing w:line="600" w:lineRule="exact"/>
              <w:outlineLvl w:val="0"/>
              <w:rPr>
                <w:rFonts w:hint="eastAsia"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行使工商行政管理方面法律、法规、规章规定的对道路、公园广场等公共场所无照经营者，以及有照经营者进行店外经营、店外作业的行政处罚权。</w:t>
            </w:r>
          </w:p>
          <w:p>
            <w:pPr>
              <w:widowControl/>
              <w:spacing w:line="600" w:lineRule="exact"/>
              <w:outlineLvl w:val="0"/>
              <w:rPr>
                <w:rFonts w:hint="eastAsia" w:ascii="仿宋" w:hAnsi="仿宋" w:eastAsia="仿宋" w:cs="仿宋"/>
                <w:sz w:val="32"/>
                <w:szCs w:val="32"/>
                <w:highlight w:val="none"/>
              </w:rPr>
            </w:pPr>
            <w:r>
              <w:rPr>
                <w:rFonts w:hint="eastAsia" w:ascii="仿宋" w:hAnsi="仿宋" w:eastAsia="仿宋" w:cs="仿宋"/>
                <w:sz w:val="32"/>
                <w:szCs w:val="32"/>
                <w:highlight w:val="none"/>
              </w:rPr>
              <w:t>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行使个体门店经营者不</w:t>
            </w:r>
            <w:r>
              <w:rPr>
                <w:rFonts w:hint="eastAsia" w:ascii="仿宋" w:hAnsi="仿宋" w:eastAsia="仿宋" w:cs="仿宋"/>
                <w:sz w:val="32"/>
                <w:szCs w:val="32"/>
                <w:highlight w:val="none"/>
                <w:lang w:eastAsia="zh-CN"/>
              </w:rPr>
              <w:t>按</w:t>
            </w:r>
            <w:r>
              <w:rPr>
                <w:rFonts w:hint="eastAsia" w:ascii="仿宋" w:hAnsi="仿宋" w:eastAsia="仿宋" w:cs="仿宋"/>
                <w:sz w:val="32"/>
                <w:szCs w:val="32"/>
                <w:highlight w:val="none"/>
              </w:rPr>
              <w:t>执照规定场地经营的行政处罚权。</w:t>
            </w:r>
          </w:p>
          <w:p>
            <w:pPr>
              <w:widowControl/>
              <w:spacing w:line="600" w:lineRule="exact"/>
              <w:outlineLvl w:val="0"/>
              <w:rPr>
                <w:rFonts w:hint="eastAsia" w:ascii="仿宋" w:hAnsi="仿宋" w:eastAsia="仿宋" w:cs="仿宋"/>
                <w:sz w:val="32"/>
                <w:szCs w:val="32"/>
                <w:highlight w:val="none"/>
              </w:rPr>
            </w:pPr>
            <w:r>
              <w:rPr>
                <w:rFonts w:hint="eastAsia" w:ascii="仿宋" w:hAnsi="仿宋" w:eastAsia="仿宋" w:cs="仿宋"/>
                <w:sz w:val="32"/>
                <w:szCs w:val="32"/>
                <w:highlight w:val="none"/>
              </w:rPr>
              <w:t>4</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行使对自产蔬菜和农副产品未进入政府指定地点经营行为的行政处罚权。</w:t>
            </w:r>
          </w:p>
          <w:p>
            <w:pPr>
              <w:pStyle w:val="2"/>
              <w:widowControl/>
              <w:spacing w:before="0" w:beforeAutospacing="0" w:after="0" w:afterAutospacing="0" w:line="33" w:lineRule="atLeast"/>
              <w:ind w:firstLine="420"/>
              <w:jc w:val="both"/>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岳阳县城市管理执法大队现有干部职工1</w:t>
            </w: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lang w:eastAsia="zh-CN"/>
                <w14:textFill>
                  <w14:solidFill>
                    <w14:schemeClr w14:val="tx1"/>
                  </w14:solidFill>
                </w14:textFill>
              </w:rPr>
              <w:t>人，其中有编人员4</w:t>
            </w: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 w:hAnsi="仿宋" w:eastAsia="仿宋" w:cs="仿宋"/>
                <w:color w:val="000000" w:themeColor="text1"/>
                <w:sz w:val="32"/>
                <w:szCs w:val="32"/>
                <w:highlight w:val="none"/>
                <w:lang w:eastAsia="zh-CN"/>
                <w14:textFill>
                  <w14:solidFill>
                    <w14:schemeClr w14:val="tx1"/>
                  </w14:solidFill>
                </w14:textFill>
              </w:rPr>
              <w:t>人、无编人员</w:t>
            </w:r>
            <w:r>
              <w:rPr>
                <w:rFonts w:hint="eastAsia" w:ascii="仿宋" w:hAnsi="仿宋" w:eastAsia="仿宋" w:cs="仿宋"/>
                <w:color w:val="000000" w:themeColor="text1"/>
                <w:sz w:val="32"/>
                <w:szCs w:val="32"/>
                <w:highlight w:val="none"/>
                <w:lang w:val="en-US" w:eastAsia="zh-CN"/>
                <w14:textFill>
                  <w14:solidFill>
                    <w14:schemeClr w14:val="tx1"/>
                  </w14:solidFill>
                </w14:textFill>
              </w:rPr>
              <w:t>11人、</w:t>
            </w:r>
            <w:r>
              <w:rPr>
                <w:rFonts w:hint="eastAsia" w:ascii="仿宋" w:hAnsi="仿宋" w:eastAsia="仿宋" w:cs="仿宋"/>
                <w:color w:val="000000" w:themeColor="text1"/>
                <w:sz w:val="32"/>
                <w:szCs w:val="32"/>
                <w:highlight w:val="none"/>
                <w:lang w:eastAsia="zh-CN"/>
                <w14:textFill>
                  <w14:solidFill>
                    <w14:schemeClr w14:val="tx1"/>
                  </w14:solidFill>
                </w14:textFill>
              </w:rPr>
              <w:t>临聘人员</w:t>
            </w:r>
            <w:r>
              <w:rPr>
                <w:rFonts w:hint="eastAsia" w:ascii="仿宋" w:hAnsi="仿宋" w:eastAsia="仿宋" w:cs="仿宋"/>
                <w:color w:val="000000" w:themeColor="text1"/>
                <w:sz w:val="32"/>
                <w:szCs w:val="32"/>
                <w:highlight w:val="none"/>
                <w:lang w:val="en-US" w:eastAsia="zh-CN"/>
                <w14:textFill>
                  <w14:solidFill>
                    <w14:schemeClr w14:val="tx1"/>
                  </w14:solidFill>
                </w14:textFill>
              </w:rPr>
              <w:t>60</w:t>
            </w:r>
            <w:r>
              <w:rPr>
                <w:rFonts w:hint="eastAsia" w:ascii="仿宋" w:hAnsi="仿宋" w:eastAsia="仿宋" w:cs="仿宋"/>
                <w:color w:val="000000" w:themeColor="text1"/>
                <w:sz w:val="32"/>
                <w:szCs w:val="32"/>
                <w:highlight w:val="none"/>
                <w:lang w:eastAsia="zh-CN"/>
                <w14:textFill>
                  <w14:solidFill>
                    <w14:schemeClr w14:val="tx1"/>
                  </w14:solidFill>
                </w14:textFill>
              </w:rPr>
              <w:t>人、退休人员</w:t>
            </w:r>
            <w:r>
              <w:rPr>
                <w:rFonts w:hint="eastAsia" w:ascii="仿宋" w:hAnsi="仿宋" w:eastAsia="仿宋" w:cs="仿宋"/>
                <w:color w:val="000000" w:themeColor="text1"/>
                <w:sz w:val="32"/>
                <w:szCs w:val="32"/>
                <w:highlight w:val="none"/>
                <w:lang w:val="en-US" w:eastAsia="zh-CN"/>
                <w14:textFill>
                  <w14:solidFill>
                    <w14:schemeClr w14:val="tx1"/>
                  </w14:solidFill>
                </w14:textFill>
              </w:rPr>
              <w:t>15人</w:t>
            </w:r>
            <w:r>
              <w:rPr>
                <w:rFonts w:hint="eastAsia" w:ascii="仿宋" w:hAnsi="仿宋" w:eastAsia="仿宋" w:cs="仿宋"/>
                <w:color w:val="000000" w:themeColor="text1"/>
                <w:sz w:val="32"/>
                <w:szCs w:val="32"/>
                <w:highlight w:val="none"/>
                <w:lang w:eastAsia="zh-CN"/>
                <w14:textFill>
                  <w14:solidFill>
                    <w14:schemeClr w14:val="tx1"/>
                  </w14:solidFill>
                </w14:textFill>
              </w:rPr>
              <w:t>。县城市管理执法大队下设五个股室和四个中队：办公室、财务、人事、工会、督察办，城南中队、城北中队、</w:t>
            </w:r>
            <w:r>
              <w:rPr>
                <w:rFonts w:hint="eastAsia" w:ascii="仿宋" w:hAnsi="仿宋" w:eastAsia="仿宋" w:cs="仿宋"/>
                <w:color w:val="000000" w:themeColor="text1"/>
                <w:sz w:val="32"/>
                <w:szCs w:val="32"/>
                <w:highlight w:val="none"/>
                <w:lang w:val="en-US" w:eastAsia="zh-CN"/>
                <w14:textFill>
                  <w14:solidFill>
                    <w14:schemeClr w14:val="tx1"/>
                  </w14:solidFill>
                </w14:textFill>
              </w:rPr>
              <w:t>城西中队、</w:t>
            </w:r>
            <w:r>
              <w:rPr>
                <w:rFonts w:hint="eastAsia" w:ascii="仿宋" w:hAnsi="仿宋" w:eastAsia="仿宋" w:cs="仿宋"/>
                <w:color w:val="000000" w:themeColor="text1"/>
                <w:sz w:val="32"/>
                <w:szCs w:val="32"/>
                <w:highlight w:val="none"/>
                <w:lang w:eastAsia="zh-CN"/>
                <w14:textFill>
                  <w14:solidFill>
                    <w14:schemeClr w14:val="tx1"/>
                  </w14:solidFill>
                </w14:textFill>
              </w:rPr>
              <w:t>市场中队和综合执法中队。</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Cs/>
                <w:color w:val="000000" w:themeColor="text1"/>
                <w:sz w:val="32"/>
                <w:szCs w:val="32"/>
                <w:highlight w:val="none"/>
                <w:lang w:val="en-US" w:eastAsia="zh-CN"/>
                <w14:textFill>
                  <w14:solidFill>
                    <w14:schemeClr w14:val="tx1"/>
                  </w14:solidFill>
                </w14:textFill>
              </w:rPr>
              <w:t>2022年工作目标任务：</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目标</w:t>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eastAsia="zh-CN"/>
              </w:rPr>
              <w:t>全年预算申请到位和下达数量在</w:t>
            </w:r>
            <w:r>
              <w:rPr>
                <w:rFonts w:hint="eastAsia" w:ascii="仿宋" w:hAnsi="仿宋" w:eastAsia="仿宋" w:cs="仿宋"/>
                <w:color w:val="auto"/>
                <w:sz w:val="32"/>
                <w:szCs w:val="32"/>
                <w:highlight w:val="none"/>
                <w:lang w:val="en-US" w:eastAsia="zh-CN"/>
              </w:rPr>
              <w:t>95%以上，三公经费变动率≤0。</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FF0000"/>
                <w:sz w:val="32"/>
                <w:szCs w:val="32"/>
                <w:highlight w:val="none"/>
                <w:lang w:eastAsia="zh-CN"/>
              </w:rPr>
            </w:pPr>
            <w:r>
              <w:rPr>
                <w:rFonts w:hint="eastAsia" w:ascii="仿宋" w:hAnsi="仿宋" w:eastAsia="仿宋" w:cs="仿宋"/>
                <w:color w:val="auto"/>
                <w:sz w:val="32"/>
                <w:szCs w:val="32"/>
                <w:highlight w:val="none"/>
              </w:rPr>
              <w:t>目标2：</w:t>
            </w:r>
            <w:r>
              <w:rPr>
                <w:rFonts w:hint="eastAsia" w:ascii="仿宋" w:hAnsi="仿宋" w:eastAsia="仿宋" w:cs="仿宋"/>
                <w:color w:val="auto"/>
                <w:sz w:val="32"/>
                <w:szCs w:val="32"/>
                <w:highlight w:val="none"/>
                <w:lang w:eastAsia="zh-CN"/>
              </w:rPr>
              <w:t>社会效益、经济效益、生态效益和社会公众满意度达到预期目标。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highlight w:val="none"/>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Cs/>
                <w:color w:val="000000" w:themeColor="text1"/>
                <w:sz w:val="32"/>
                <w:szCs w:val="32"/>
                <w:highlight w:val="none"/>
                <w:lang w:val="en-US" w:eastAsia="zh-CN"/>
                <w14:textFill>
                  <w14:solidFill>
                    <w14:schemeClr w14:val="tx1"/>
                  </w14:solidFill>
                </w14:textFill>
              </w:rPr>
              <w:t>2022年岳阳县城市管理执法大队总支出1099.65万元，其中：基本支出1099.65万元，包括</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年末结转和结余12.32万元。</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二、部门（单位）整体支出管理及使用情况</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（一）基本支出</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Cs/>
                <w:color w:val="000000" w:themeColor="text1"/>
                <w:sz w:val="32"/>
                <w:szCs w:val="32"/>
                <w:highlight w:val="none"/>
                <w:lang w:val="en-US" w:eastAsia="zh-CN"/>
                <w14:textFill>
                  <w14:solidFill>
                    <w14:schemeClr w14:val="tx1"/>
                  </w14:solidFill>
                </w14:textFill>
              </w:rPr>
              <w:t>2022年岳阳县城市管理执法大队基本支出1099.65万元,主要用于人员支出813.96万元，公用支出285.68</w:t>
            </w:r>
            <w:bookmarkStart w:id="0" w:name="_GoBack"/>
            <w:bookmarkEnd w:id="0"/>
            <w:r>
              <w:rPr>
                <w:rFonts w:hint="eastAsia" w:ascii="仿宋" w:hAnsi="仿宋" w:eastAsia="仿宋" w:cs="仿宋"/>
                <w:bCs/>
                <w:color w:val="000000" w:themeColor="text1"/>
                <w:sz w:val="32"/>
                <w:szCs w:val="32"/>
                <w:highlight w:val="none"/>
                <w:lang w:val="en-US" w:eastAsia="zh-CN"/>
                <w14:textFill>
                  <w14:solidFill>
                    <w14:schemeClr w14:val="tx1"/>
                  </w14:solidFill>
                </w14:textFill>
              </w:rPr>
              <w:t>万元。“三公经费”支出8.99万元。在编职工和临聘人员严格按照县编办核定人数和县人社局审核的工资福利标准进行发放，所有人员社保金额按照县人社局和财政局统一规定缴纳，商品和服务支出按照财政采购相关规定执行，资金使用规范，符合国家财经法规和财务管理制度规定，资金的拨付履行了完整的审批程序和手续，资金使用基本符合预算批复的用途。</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lang w:eastAsia="zh-CN"/>
                <w14:textFill>
                  <w14:solidFill>
                    <w14:schemeClr w14:val="tx1"/>
                  </w14:solidFill>
                </w14:textFill>
              </w:rPr>
              <w:t>三、</w:t>
            </w:r>
            <w:r>
              <w:rPr>
                <w:rFonts w:hint="eastAsia" w:ascii="仿宋" w:hAnsi="仿宋" w:eastAsia="仿宋" w:cs="仿宋"/>
                <w:bCs/>
                <w:color w:val="000000" w:themeColor="text1"/>
                <w:sz w:val="32"/>
                <w:szCs w:val="32"/>
                <w:highlight w:val="none"/>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一、经济效益：</w:t>
            </w:r>
            <w:r>
              <w:rPr>
                <w:rFonts w:hint="eastAsia" w:ascii="仿宋" w:hAnsi="仿宋" w:eastAsia="仿宋" w:cs="仿宋"/>
                <w:color w:val="000000" w:themeColor="text1"/>
                <w:sz w:val="32"/>
                <w:szCs w:val="32"/>
                <w:highlight w:val="none"/>
                <w14:textFill>
                  <w14:solidFill>
                    <w14:schemeClr w14:val="tx1"/>
                  </w14:solidFill>
                </w14:textFill>
              </w:rPr>
              <w:t>严控非生产性开支，严肃财务纪律，遵守财经制度，规范财务报账手续，实现经济效益最大化</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二、</w:t>
            </w:r>
            <w:r>
              <w:rPr>
                <w:rFonts w:hint="eastAsia" w:ascii="仿宋" w:hAnsi="仿宋" w:eastAsia="仿宋" w:cs="仿宋"/>
                <w:color w:val="000000" w:themeColor="text1"/>
                <w:sz w:val="32"/>
                <w:szCs w:val="32"/>
                <w:highlight w:val="none"/>
                <w14:textFill>
                  <w14:solidFill>
                    <w14:schemeClr w14:val="tx1"/>
                  </w14:solidFill>
                </w14:textFill>
              </w:rPr>
              <w:t>社会效益</w:t>
            </w:r>
            <w:r>
              <w:rPr>
                <w:rFonts w:hint="eastAsia" w:ascii="仿宋" w:hAnsi="仿宋" w:eastAsia="仿宋" w:cs="仿宋"/>
                <w:color w:val="000000" w:themeColor="text1"/>
                <w:sz w:val="32"/>
                <w:szCs w:val="32"/>
                <w:highlight w:val="none"/>
                <w:lang w:eastAsia="zh-CN"/>
                <w14:textFill>
                  <w14:solidFill>
                    <w14:schemeClr w14:val="tx1"/>
                  </w14:solidFill>
                </w14:textFill>
              </w:rPr>
              <w:t>：加强行业监管，树立执法行业窗口单位形象。</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三、</w:t>
            </w:r>
            <w:r>
              <w:rPr>
                <w:rFonts w:hint="eastAsia" w:ascii="仿宋" w:hAnsi="仿宋" w:eastAsia="仿宋" w:cs="仿宋"/>
                <w:color w:val="000000" w:themeColor="text1"/>
                <w:sz w:val="32"/>
                <w:szCs w:val="32"/>
                <w:highlight w:val="none"/>
                <w14:textFill>
                  <w14:solidFill>
                    <w14:schemeClr w14:val="tx1"/>
                  </w14:solidFill>
                </w14:textFill>
              </w:rPr>
              <w:t>生态效益</w:t>
            </w:r>
            <w:r>
              <w:rPr>
                <w:rFonts w:hint="eastAsia" w:ascii="仿宋" w:hAnsi="仿宋" w:eastAsia="仿宋" w:cs="仿宋"/>
                <w:color w:val="000000" w:themeColor="text1"/>
                <w:sz w:val="32"/>
                <w:szCs w:val="32"/>
                <w:highlight w:val="none"/>
                <w:lang w:eastAsia="zh-CN"/>
                <w14:textFill>
                  <w14:solidFill>
                    <w14:schemeClr w14:val="tx1"/>
                  </w14:solidFill>
                </w14:textFill>
              </w:rPr>
              <w:t>：不断提高市容环境整体管理水平</w:t>
            </w:r>
            <w:r>
              <w:rPr>
                <w:rFonts w:hint="eastAsia" w:ascii="仿宋" w:hAnsi="仿宋" w:eastAsia="仿宋" w:cs="仿宋"/>
                <w:color w:val="000000" w:themeColor="text1"/>
                <w:sz w:val="32"/>
                <w:szCs w:val="32"/>
                <w:highlight w:val="none"/>
                <w14:textFill>
                  <w14:solidFill>
                    <w14:schemeClr w14:val="tx1"/>
                  </w14:solidFill>
                </w14:textFill>
              </w:rPr>
              <w:t>、提高人文居住环境</w:t>
            </w:r>
            <w:r>
              <w:rPr>
                <w:rFonts w:hint="eastAsia" w:ascii="仿宋" w:hAnsi="仿宋" w:eastAsia="仿宋" w:cs="仿宋"/>
                <w:color w:val="000000" w:themeColor="text1"/>
                <w:sz w:val="32"/>
                <w:szCs w:val="32"/>
                <w:highlight w:val="none"/>
                <w:lang w:eastAsia="zh-CN"/>
                <w14:textFill>
                  <w14:solidFill>
                    <w14:schemeClr w14:val="tx1"/>
                  </w14:solidFill>
                </w14:textFill>
              </w:rPr>
              <w:t>和人民生活幸福指数。</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eastAsia="zh-CN"/>
              </w:rPr>
              <w:t>四、</w:t>
            </w:r>
            <w:r>
              <w:rPr>
                <w:rFonts w:hint="eastAsia" w:ascii="仿宋" w:hAnsi="仿宋" w:eastAsia="仿宋" w:cs="仿宋"/>
                <w:bCs/>
                <w:color w:val="auto"/>
                <w:sz w:val="32"/>
                <w:szCs w:val="32"/>
                <w:highlight w:val="none"/>
              </w:rPr>
              <w:t>存在的主要问题</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1、工作水平有待提高。目前县财政安排的工作任务在完成时限、软件运用、科学编制等方面要求越来越高，一般时间紧、任务重，仅能做到完成。单位财务人员业务培训需加强，财务工作标准还有待于进一步提高。</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2、资产管理工作有待加强。资产管理不相容环节较多，受人员有限的影响较大。</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default"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3、内控建设有待提高。内部控制建设处于建立阶段，制度建设不够完备，执行操作经验不足。</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eastAsia="zh-CN"/>
              </w:rPr>
              <w:t>五</w:t>
            </w:r>
            <w:r>
              <w:rPr>
                <w:rFonts w:hint="eastAsia" w:ascii="仿宋" w:hAnsi="仿宋" w:eastAsia="仿宋" w:cs="仿宋"/>
                <w:bCs/>
                <w:color w:val="auto"/>
                <w:sz w:val="32"/>
                <w:szCs w:val="32"/>
                <w:highlight w:val="none"/>
              </w:rPr>
              <w:t>、改进措施和有关建议</w:t>
            </w:r>
          </w:p>
          <w:p>
            <w:pPr>
              <w:keepNext w:val="0"/>
              <w:keepLines w:val="0"/>
              <w:pageBreakBefore w:val="0"/>
              <w:widowControl/>
              <w:shd w:val="clear" w:fill="FFFFFF" w:themeFill="background1"/>
              <w:kinsoku/>
              <w:wordWrap/>
              <w:overflowPunct/>
              <w:topLinePunct w:val="0"/>
              <w:autoSpaceDE/>
              <w:bidi w:val="0"/>
              <w:adjustRightInd/>
              <w:snapToGrid/>
              <w:spacing w:line="460" w:lineRule="exact"/>
              <w:ind w:firstLine="960" w:firstLineChars="300"/>
              <w:outlineLvl w:val="9"/>
              <w:rPr>
                <w:rFonts w:hint="eastAsia" w:ascii="仿宋" w:hAnsi="仿宋" w:eastAsia="仿宋" w:cs="仿宋"/>
                <w:bCs/>
                <w:color w:val="000000" w:themeColor="text1"/>
                <w:sz w:val="32"/>
                <w:szCs w:val="32"/>
                <w:highlight w:val="none"/>
                <w:lang w:eastAsia="zh-CN"/>
                <w14:textFill>
                  <w14:solidFill>
                    <w14:schemeClr w14:val="tx1"/>
                  </w14:solidFill>
                </w14:textFill>
              </w:rPr>
            </w:pPr>
            <w:r>
              <w:rPr>
                <w:rFonts w:hint="eastAsia" w:ascii="仿宋" w:hAnsi="仿宋" w:eastAsia="仿宋" w:cs="仿宋"/>
                <w:bCs/>
                <w:color w:val="000000" w:themeColor="text1"/>
                <w:sz w:val="32"/>
                <w:szCs w:val="32"/>
                <w:highlight w:val="none"/>
                <w:lang w:val="en-US" w:eastAsia="zh-CN"/>
                <w14:textFill>
                  <w14:solidFill>
                    <w14:schemeClr w14:val="tx1"/>
                  </w14:solidFill>
                </w14:textFill>
              </w:rPr>
              <w:t>1、加强预算管理，进一步细化预算支出科目，严格按照年初预算控制支出，加强预算执行管理</w:t>
            </w:r>
            <w:r>
              <w:rPr>
                <w:rFonts w:hint="eastAsia" w:ascii="仿宋" w:hAnsi="仿宋" w:eastAsia="仿宋" w:cs="仿宋"/>
                <w:bCs/>
                <w:color w:val="000000" w:themeColor="text1"/>
                <w:sz w:val="32"/>
                <w:szCs w:val="32"/>
                <w:highlight w:val="none"/>
                <w:lang w:eastAsia="zh-CN"/>
                <w14:textFill>
                  <w14:solidFill>
                    <w14:schemeClr w14:val="tx1"/>
                  </w14:solidFill>
                </w14:textFill>
              </w:rPr>
              <w:t>。</w:t>
            </w:r>
          </w:p>
          <w:p>
            <w:pPr>
              <w:keepNext w:val="0"/>
              <w:keepLines w:val="0"/>
              <w:pageBreakBefore w:val="0"/>
              <w:widowControl/>
              <w:shd w:val="clear" w:fill="FFFFFF" w:themeFill="background1"/>
              <w:kinsoku/>
              <w:wordWrap/>
              <w:overflowPunct/>
              <w:topLinePunct w:val="0"/>
              <w:autoSpaceDE/>
              <w:bidi w:val="0"/>
              <w:adjustRightInd/>
              <w:snapToGrid/>
              <w:spacing w:line="460" w:lineRule="exact"/>
              <w:ind w:firstLine="960" w:firstLineChars="300"/>
              <w:outlineLvl w:val="9"/>
              <w:rPr>
                <w:rFonts w:hint="eastAsia" w:ascii="仿宋" w:hAnsi="仿宋" w:eastAsia="仿宋" w:cs="仿宋"/>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Cs/>
                <w:color w:val="000000" w:themeColor="text1"/>
                <w:sz w:val="32"/>
                <w:szCs w:val="32"/>
                <w:highlight w:val="none"/>
                <w:lang w:val="en-US" w:eastAsia="zh-CN"/>
                <w14:textFill>
                  <w14:solidFill>
                    <w14:schemeClr w14:val="tx1"/>
                  </w14:solidFill>
                </w14:textFill>
              </w:rPr>
              <w:t>2、规范各类资产的购置审批制度、采购制度、使用管理制度，增加资产管理人员，加强单位内部的资产管理工作。</w:t>
            </w:r>
          </w:p>
          <w:p>
            <w:pPr>
              <w:keepNext w:val="0"/>
              <w:keepLines w:val="0"/>
              <w:pageBreakBefore w:val="0"/>
              <w:widowControl/>
              <w:shd w:val="clear" w:fill="FFFFFF" w:themeFill="background1"/>
              <w:kinsoku/>
              <w:wordWrap/>
              <w:overflowPunct/>
              <w:topLinePunct w:val="0"/>
              <w:autoSpaceDE/>
              <w:bidi w:val="0"/>
              <w:adjustRightInd/>
              <w:snapToGrid/>
              <w:spacing w:line="460" w:lineRule="exact"/>
              <w:outlineLvl w:val="9"/>
              <w:rPr>
                <w:rFonts w:hint="default" w:ascii="仿宋" w:hAnsi="仿宋" w:eastAsia="仿宋" w:cs="仿宋"/>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Cs/>
                <w:color w:val="000000" w:themeColor="text1"/>
                <w:sz w:val="32"/>
                <w:szCs w:val="32"/>
                <w:highlight w:val="none"/>
                <w:lang w:val="en-US" w:eastAsia="zh-CN"/>
                <w14:textFill>
                  <w14:solidFill>
                    <w14:schemeClr w14:val="tx1"/>
                  </w14:solidFill>
                </w14:textFill>
              </w:rPr>
              <w:t xml:space="preserve">    3、加强新会计制度、新预算法、新财政政策和内控制度的学习，提高工作水平。</w:t>
            </w:r>
          </w:p>
          <w:p>
            <w:pPr>
              <w:keepNext w:val="0"/>
              <w:keepLines w:val="0"/>
              <w:pageBreakBefore w:val="0"/>
              <w:widowControl/>
              <w:shd w:val="clear" w:fill="FFFFFF" w:themeFill="background1"/>
              <w:kinsoku/>
              <w:wordWrap/>
              <w:overflowPunct/>
              <w:topLinePunct w:val="0"/>
              <w:autoSpaceDE/>
              <w:bidi w:val="0"/>
              <w:adjustRightInd/>
              <w:snapToGrid/>
              <w:spacing w:line="460" w:lineRule="exact"/>
              <w:ind w:firstLine="640" w:firstLineChars="200"/>
              <w:outlineLvl w:val="9"/>
              <w:rPr>
                <w:rFonts w:hint="default" w:ascii="仿宋" w:hAnsi="仿宋" w:eastAsia="仿宋" w:cs="仿宋"/>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Cs/>
                <w:color w:val="000000" w:themeColor="text1"/>
                <w:sz w:val="32"/>
                <w:szCs w:val="32"/>
                <w:highlight w:val="none"/>
                <w:lang w:val="en-US" w:eastAsia="zh-CN"/>
                <w14:textFill>
                  <w14:solidFill>
                    <w14:schemeClr w14:val="tx1"/>
                  </w14:solidFill>
                </w14:textFill>
              </w:rPr>
              <w:t>4.加强执法监管，依法行政，严格执法程序秉公执法。</w:t>
            </w:r>
          </w:p>
          <w:p>
            <w:pPr>
              <w:keepNext w:val="0"/>
              <w:keepLines w:val="0"/>
              <w:pageBreakBefore w:val="0"/>
              <w:widowControl/>
              <w:shd w:val="clear" w:fill="FFFFFF" w:themeFill="background1"/>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Cs/>
                <w:color w:val="000000" w:themeColor="text1"/>
                <w:sz w:val="32"/>
                <w:szCs w:val="32"/>
                <w:highlight w:val="none"/>
                <w:lang w:val="en-US" w:eastAsia="zh-CN"/>
                <w14:textFill>
                  <w14:solidFill>
                    <w14:schemeClr w14:val="tx1"/>
                  </w14:solidFill>
                </w14:textFill>
              </w:rPr>
              <w:t>5.建议县财政大加对单位的财政预算拨款力度</w:t>
            </w:r>
          </w:p>
          <w:p>
            <w:pPr>
              <w:keepNext w:val="0"/>
              <w:keepLines w:val="0"/>
              <w:pageBreakBefore w:val="0"/>
              <w:widowControl/>
              <w:shd w:val="clear" w:fill="FFFFFF" w:themeFill="background1"/>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highlight w:val="none"/>
                <w:lang w:eastAsia="zh-CN"/>
                <w14:textFill>
                  <w14:solidFill>
                    <w14:schemeClr w14:val="tx1"/>
                  </w14:solidFill>
                </w14:textFill>
              </w:rPr>
            </w:pP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FF0000"/>
                <w:sz w:val="32"/>
                <w:szCs w:val="32"/>
                <w:highlight w:val="none"/>
                <w:lang w:val="en-US" w:eastAsia="zh-CN"/>
              </w:rPr>
            </w:pPr>
            <w:r>
              <w:rPr>
                <w:rFonts w:hint="eastAsia" w:ascii="仿宋" w:hAnsi="仿宋" w:eastAsia="仿宋" w:cs="仿宋"/>
                <w:bCs/>
                <w:color w:val="FF0000"/>
                <w:sz w:val="32"/>
                <w:szCs w:val="32"/>
                <w:highlight w:val="none"/>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32"/>
                <w:szCs w:val="32"/>
                <w:highlight w:val="none"/>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F4E00"/>
    <w:multiLevelType w:val="singleLevel"/>
    <w:tmpl w:val="223F4E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MGJhNDY5ZWUyNzdhODA4ZGYyOGYwMGM5NWYxZWEifQ=="/>
  </w:docVars>
  <w:rsids>
    <w:rsidRoot w:val="0A1A313F"/>
    <w:rsid w:val="02DA2069"/>
    <w:rsid w:val="06314567"/>
    <w:rsid w:val="0A1A313F"/>
    <w:rsid w:val="0A533FDD"/>
    <w:rsid w:val="0C7E3877"/>
    <w:rsid w:val="0D874C5B"/>
    <w:rsid w:val="0D8E229F"/>
    <w:rsid w:val="0DB65991"/>
    <w:rsid w:val="0F201A80"/>
    <w:rsid w:val="0F8E2A2A"/>
    <w:rsid w:val="14AD1543"/>
    <w:rsid w:val="15B621E3"/>
    <w:rsid w:val="16651635"/>
    <w:rsid w:val="19144D19"/>
    <w:rsid w:val="19422E64"/>
    <w:rsid w:val="1B6F6E2E"/>
    <w:rsid w:val="1B9719D0"/>
    <w:rsid w:val="1EA62ED2"/>
    <w:rsid w:val="21393B46"/>
    <w:rsid w:val="21421E74"/>
    <w:rsid w:val="23845D9E"/>
    <w:rsid w:val="26A17F53"/>
    <w:rsid w:val="298C36DF"/>
    <w:rsid w:val="2A605BE4"/>
    <w:rsid w:val="2B247840"/>
    <w:rsid w:val="2BE72128"/>
    <w:rsid w:val="2BEA2ED3"/>
    <w:rsid w:val="2D20037D"/>
    <w:rsid w:val="2F8C7964"/>
    <w:rsid w:val="30566C9F"/>
    <w:rsid w:val="316F477E"/>
    <w:rsid w:val="32D875C8"/>
    <w:rsid w:val="33016EEC"/>
    <w:rsid w:val="33265E11"/>
    <w:rsid w:val="343230D5"/>
    <w:rsid w:val="349211B7"/>
    <w:rsid w:val="370E1E08"/>
    <w:rsid w:val="37EB05DA"/>
    <w:rsid w:val="391B4A7F"/>
    <w:rsid w:val="3A2F3BFE"/>
    <w:rsid w:val="3A4D5720"/>
    <w:rsid w:val="3A7D1496"/>
    <w:rsid w:val="3B015DAC"/>
    <w:rsid w:val="3B70245C"/>
    <w:rsid w:val="3BAE6861"/>
    <w:rsid w:val="3D167A38"/>
    <w:rsid w:val="3E107914"/>
    <w:rsid w:val="3E6D137F"/>
    <w:rsid w:val="3ED62761"/>
    <w:rsid w:val="40405E31"/>
    <w:rsid w:val="41EE1888"/>
    <w:rsid w:val="437171F2"/>
    <w:rsid w:val="440F72B8"/>
    <w:rsid w:val="44896249"/>
    <w:rsid w:val="47B5738E"/>
    <w:rsid w:val="4B591B02"/>
    <w:rsid w:val="4E9F57CA"/>
    <w:rsid w:val="4FA0745D"/>
    <w:rsid w:val="506506F0"/>
    <w:rsid w:val="50B22936"/>
    <w:rsid w:val="5232687A"/>
    <w:rsid w:val="55133157"/>
    <w:rsid w:val="57EC78BB"/>
    <w:rsid w:val="59BC61AA"/>
    <w:rsid w:val="5AA605CD"/>
    <w:rsid w:val="5CAD5ED1"/>
    <w:rsid w:val="5CC3007B"/>
    <w:rsid w:val="5D8F040A"/>
    <w:rsid w:val="5E2430CD"/>
    <w:rsid w:val="5E617CB0"/>
    <w:rsid w:val="5FC64C01"/>
    <w:rsid w:val="5FF60134"/>
    <w:rsid w:val="65BA5EA0"/>
    <w:rsid w:val="661871B9"/>
    <w:rsid w:val="666741CE"/>
    <w:rsid w:val="66F217FA"/>
    <w:rsid w:val="6C133210"/>
    <w:rsid w:val="6D5746E9"/>
    <w:rsid w:val="6D8F62CB"/>
    <w:rsid w:val="6F1E7F02"/>
    <w:rsid w:val="706E310B"/>
    <w:rsid w:val="75630D65"/>
    <w:rsid w:val="76D71B44"/>
    <w:rsid w:val="775D5A0F"/>
    <w:rsid w:val="77B67919"/>
    <w:rsid w:val="78471B87"/>
    <w:rsid w:val="7B931F32"/>
    <w:rsid w:val="7BF407DF"/>
    <w:rsid w:val="7C987027"/>
    <w:rsid w:val="7E745D91"/>
    <w:rsid w:val="7EFD2393"/>
    <w:rsid w:val="7F45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2194</Words>
  <Characters>2402</Characters>
  <Lines>0</Lines>
  <Paragraphs>0</Paragraphs>
  <TotalTime>102</TotalTime>
  <ScaleCrop>false</ScaleCrop>
  <LinksUpToDate>false</LinksUpToDate>
  <CharactersWithSpaces>2812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2021-07-23T07:46:00Z</dcterms:created>
  <dc:creator>Administrator</dc:creator>
  <cp:lastModifiedBy>Administrator</cp:lastModifiedBy>
  <cp:lastPrinted>2022-10-20T09:06:00Z</cp:lastPrinted>
  <dcterms:modified xsi:type="dcterms:W3CDTF">2023-09-28T01:27:00Z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9B4E12E79F80449F800F14FFA5CF87E7_13</vt:lpwstr>
  </property>
</Properties>
</file>