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岳阳县</w:t>
      </w:r>
      <w:r>
        <w:rPr>
          <w:rFonts w:eastAsia="方正小标宋简体"/>
          <w:bCs/>
          <w:sz w:val="46"/>
          <w:szCs w:val="46"/>
        </w:rPr>
        <w:t>20</w:t>
      </w:r>
      <w:r>
        <w:rPr>
          <w:rFonts w:hint="eastAsia" w:eastAsia="方正小标宋简体"/>
          <w:bCs/>
          <w:sz w:val="46"/>
          <w:szCs w:val="46"/>
        </w:rPr>
        <w:t>2</w:t>
      </w:r>
      <w:r>
        <w:rPr>
          <w:rFonts w:hint="eastAsia" w:eastAsia="方正小标宋简体"/>
          <w:bCs/>
          <w:sz w:val="46"/>
          <w:szCs w:val="46"/>
          <w:lang w:val="en-US" w:eastAsia="zh-CN"/>
        </w:rPr>
        <w:t>2</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301" w:beforeLines="50" w:line="348" w:lineRule="auto"/>
        <w:ind w:firstLine="476" w:firstLineChars="150"/>
        <w:jc w:val="center"/>
        <w:rPr>
          <w:rFonts w:eastAsia="仿宋_GB2312"/>
          <w:sz w:val="32"/>
          <w:szCs w:val="32"/>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w:t>
      </w:r>
      <w:r>
        <w:rPr>
          <w:rFonts w:hint="eastAsia" w:eastAsia="仿宋_GB2312"/>
          <w:sz w:val="32"/>
          <w:szCs w:val="32"/>
          <w:lang w:val="en-US" w:eastAsia="zh-CN"/>
        </w:rPr>
        <w:t>柏祥镇</w:t>
      </w:r>
      <w:r>
        <w:rPr>
          <w:rFonts w:hint="eastAsia" w:eastAsia="仿宋_GB2312"/>
          <w:sz w:val="32"/>
          <w:szCs w:val="32"/>
        </w:rPr>
        <w:t>人民政府</w:t>
      </w:r>
    </w:p>
    <w:p>
      <w:pPr>
        <w:spacing w:before="301" w:beforeLines="50" w:line="348" w:lineRule="auto"/>
        <w:ind w:firstLine="476" w:firstLineChars="150"/>
        <w:jc w:val="center"/>
        <w:rPr>
          <w:rFonts w:hint="eastAsia" w:eastAsia="仿宋_GB2312"/>
          <w:spacing w:val="30"/>
          <w:sz w:val="32"/>
          <w:szCs w:val="32"/>
          <w:lang w:val="en-US" w:eastAsia="zh-CN"/>
        </w:rPr>
      </w:pPr>
      <w:r>
        <w:rPr>
          <w:rFonts w:hint="eastAsia" w:eastAsia="仿宋_GB2312"/>
          <w:sz w:val="32"/>
          <w:szCs w:val="32"/>
        </w:rPr>
        <w:t>预</w:t>
      </w:r>
      <w:r>
        <w:rPr>
          <w:rFonts w:hint="eastAsia" w:eastAsia="仿宋_GB2312"/>
          <w:spacing w:val="30"/>
          <w:sz w:val="32"/>
          <w:szCs w:val="32"/>
        </w:rPr>
        <w:t>算编码：</w:t>
      </w:r>
      <w:r>
        <w:rPr>
          <w:rFonts w:hint="eastAsia" w:eastAsia="仿宋_GB2312"/>
          <w:spacing w:val="30"/>
          <w:sz w:val="32"/>
          <w:szCs w:val="32"/>
          <w:lang w:val="en-US" w:eastAsia="zh-CN"/>
        </w:rPr>
        <w:t>703001</w:t>
      </w:r>
    </w:p>
    <w:p>
      <w:pPr>
        <w:spacing w:before="301" w:beforeLines="50" w:line="348" w:lineRule="auto"/>
        <w:ind w:firstLine="476" w:firstLineChars="150"/>
        <w:jc w:val="center"/>
        <w:rPr>
          <w:rFonts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jc w:val="center"/>
        <w:rPr>
          <w:rFonts w:eastAsia="仿宋_GB2312"/>
          <w:sz w:val="32"/>
          <w:szCs w:val="32"/>
        </w:rPr>
      </w:pPr>
      <w:r>
        <w:rPr>
          <w:rFonts w:hint="eastAsia" w:eastAsia="仿宋_GB2312"/>
          <w:sz w:val="32"/>
          <w:szCs w:val="32"/>
        </w:rPr>
        <w:t>评价机构：部门（单位）评价组</w:t>
      </w:r>
    </w:p>
    <w:p>
      <w:pPr>
        <w:spacing w:line="720" w:lineRule="exact"/>
        <w:ind w:firstLine="2188" w:firstLineChars="690"/>
        <w:jc w:val="center"/>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报告日期：202</w:t>
      </w:r>
      <w:r>
        <w:rPr>
          <w:rFonts w:hint="eastAsia" w:eastAsia="仿宋_GB2312"/>
          <w:sz w:val="32"/>
          <w:lang w:val="en-US" w:eastAsia="zh-CN"/>
        </w:rPr>
        <w:t>2</w:t>
      </w:r>
      <w:r>
        <w:rPr>
          <w:rFonts w:hint="eastAsia" w:eastAsia="仿宋_GB2312"/>
          <w:sz w:val="32"/>
        </w:rPr>
        <w:t>年</w:t>
      </w:r>
      <w:r>
        <w:rPr>
          <w:rFonts w:hint="eastAsia" w:eastAsia="仿宋_GB2312"/>
          <w:sz w:val="32"/>
          <w:lang w:val="en-US" w:eastAsia="zh-CN"/>
        </w:rPr>
        <w:t>10</w:t>
      </w:r>
      <w:r>
        <w:rPr>
          <w:rFonts w:hint="eastAsia" w:eastAsia="仿宋_GB2312"/>
          <w:sz w:val="32"/>
        </w:rPr>
        <w:t>月</w:t>
      </w:r>
      <w:r>
        <w:rPr>
          <w:rFonts w:hint="eastAsia" w:eastAsia="仿宋_GB2312"/>
          <w:sz w:val="32"/>
          <w:lang w:val="en-US" w:eastAsia="zh-CN"/>
        </w:rPr>
        <w:t>8</w:t>
      </w:r>
      <w:r>
        <w:rPr>
          <w:rFonts w:hint="eastAsia" w:eastAsia="仿宋_GB2312"/>
          <w:sz w:val="32"/>
        </w:rPr>
        <w:t>日</w:t>
      </w:r>
    </w:p>
    <w:p>
      <w:pPr>
        <w:spacing w:line="348" w:lineRule="auto"/>
        <w:jc w:val="center"/>
        <w:rPr>
          <w:rFonts w:eastAsia="仿宋_GB2312"/>
          <w:sz w:val="32"/>
          <w:szCs w:val="32"/>
        </w:rPr>
      </w:pPr>
    </w:p>
    <w:p>
      <w:pPr>
        <w:widowControl/>
        <w:jc w:val="left"/>
        <w:rPr>
          <w:rFonts w:eastAsia="仿宋_GB2312"/>
          <w:sz w:val="32"/>
          <w:szCs w:val="32"/>
        </w:rPr>
        <w:sectPr>
          <w:pgSz w:w="11906" w:h="16838"/>
          <w:pgMar w:top="1588" w:right="1588" w:bottom="1588" w:left="1588" w:header="851" w:footer="992" w:gutter="0"/>
          <w:pgNumType w:start="1"/>
          <w:cols w:space="720" w:num="1"/>
          <w:docGrid w:type="linesAndChars" w:linePitch="602" w:charSpace="-782"/>
        </w:sectPr>
      </w:pPr>
    </w:p>
    <w:tbl>
      <w:tblPr>
        <w:tblStyle w:val="7"/>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08"/>
        <w:gridCol w:w="232"/>
        <w:gridCol w:w="1095"/>
        <w:gridCol w:w="55"/>
        <w:gridCol w:w="1015"/>
        <w:gridCol w:w="402"/>
        <w:gridCol w:w="808"/>
        <w:gridCol w:w="1705"/>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08"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607"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黄刚强</w:t>
            </w:r>
          </w:p>
        </w:tc>
        <w:tc>
          <w:tcPr>
            <w:tcW w:w="190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13874015474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08"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607"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94</w:t>
            </w:r>
          </w:p>
        </w:tc>
        <w:tc>
          <w:tcPr>
            <w:tcW w:w="190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4" w:hRule="atLeast"/>
          <w:jc w:val="center"/>
        </w:trPr>
        <w:tc>
          <w:tcPr>
            <w:tcW w:w="1608"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92" w:type="dxa"/>
            <w:gridSpan w:val="1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textAlignment w:val="auto"/>
              <w:rPr>
                <w:rFonts w:ascii="仿宋_GB2312" w:hAnsi="仿宋_GB2312" w:eastAsia="仿宋_GB2312" w:cs="仿宋_GB2312"/>
                <w:color w:val="000000"/>
                <w:sz w:val="24"/>
              </w:rPr>
            </w:pPr>
            <w:r>
              <w:rPr>
                <w:rFonts w:hint="eastAsia" w:ascii="仿宋_GB2312" w:hAnsi="仿宋_GB2312" w:eastAsia="仿宋_GB2312" w:cs="仿宋_GB2312"/>
                <w:bCs/>
                <w:sz w:val="24"/>
                <w:szCs w:val="24"/>
              </w:rPr>
              <w:t>制定并组织实施全镇的经济社会文化发展规划，维护当地社会治安和社会稳定，宣传贯彻执行党的路线、方针、政策，执行国家法律、法规，开展普法教育等。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52" w:hRule="atLeast"/>
          <w:jc w:val="center"/>
        </w:trPr>
        <w:tc>
          <w:tcPr>
            <w:tcW w:w="1608"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92" w:type="dxa"/>
            <w:gridSpan w:val="1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6"/>
              <w:keepNext w:val="0"/>
              <w:keepLines w:val="0"/>
              <w:widowControl/>
              <w:suppressLineNumbers w:val="0"/>
              <w:spacing w:before="0" w:beforeAutospacing="0" w:after="0" w:afterAutospacing="0" w:line="33" w:lineRule="atLeast"/>
              <w:jc w:val="left"/>
              <w:rPr>
                <w:rFonts w:hint="eastAsia" w:ascii="仿宋" w:hAnsi="仿宋" w:eastAsia="仿宋" w:cs="仿宋"/>
                <w:kern w:val="2"/>
                <w:sz w:val="21"/>
                <w:szCs w:val="21"/>
                <w:lang w:val="en-US" w:eastAsia="zh-CN" w:bidi="ar-SA"/>
              </w:rPr>
            </w:pPr>
            <w:r>
              <w:rPr>
                <w:sz w:val="21"/>
                <w:szCs w:val="21"/>
              </w:rPr>
              <w:t>（一）</w:t>
            </w:r>
            <w:r>
              <w:rPr>
                <w:rFonts w:hint="eastAsia" w:ascii="仿宋" w:hAnsi="仿宋" w:eastAsia="仿宋" w:cs="仿宋"/>
                <w:kern w:val="2"/>
                <w:sz w:val="21"/>
                <w:szCs w:val="21"/>
                <w:lang w:val="en-US" w:eastAsia="zh-CN" w:bidi="ar-SA"/>
              </w:rPr>
              <w:t>坚持党建引领促发展，构建基层治理新格局</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 w:hAnsi="仿宋" w:eastAsia="仿宋" w:cs="仿宋"/>
                <w:kern w:val="2"/>
                <w:sz w:val="21"/>
                <w:szCs w:val="21"/>
                <w:lang w:val="en-US" w:eastAsia="zh-CN" w:bidi="ar-SA"/>
              </w:rPr>
            </w:pPr>
            <w:r>
              <w:rPr>
                <w:rFonts w:hint="eastAsia" w:ascii="仿宋" w:hAnsi="仿宋" w:eastAsia="仿宋" w:cs="仿宋"/>
                <w:sz w:val="21"/>
                <w:szCs w:val="21"/>
              </w:rPr>
              <w:t>（二）</w:t>
            </w:r>
            <w:r>
              <w:rPr>
                <w:rFonts w:hint="eastAsia" w:ascii="仿宋" w:hAnsi="仿宋" w:eastAsia="仿宋" w:cs="仿宋"/>
                <w:kern w:val="2"/>
                <w:sz w:val="21"/>
                <w:szCs w:val="21"/>
                <w:lang w:val="en-US" w:eastAsia="zh-CN" w:bidi="ar-SA"/>
              </w:rPr>
              <w:t>坚持真抓实干引项目，实现基础设施新跨越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（三）坚持以民为本增福祉，推动幸福指数新提升</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（四）坚持精心谋划兴产业，展现乡村振兴新作为</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（五）坚持履职尽责守底线，筑牢风险防范新屏障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jc w:val="left"/>
              <w:textAlignment w:val="auto"/>
              <w:rPr>
                <w:rFonts w:hint="eastAsia" w:eastAsia="宋体"/>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17" w:hRule="atLeast"/>
          <w:jc w:val="center"/>
        </w:trPr>
        <w:tc>
          <w:tcPr>
            <w:tcW w:w="1608"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92" w:type="dxa"/>
            <w:gridSpan w:val="1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6"/>
              <w:keepNext w:val="0"/>
              <w:keepLines w:val="0"/>
              <w:widowControl/>
              <w:numPr>
                <w:ilvl w:val="0"/>
                <w:numId w:val="0"/>
              </w:numPr>
              <w:suppressLineNumbers w:val="0"/>
              <w:spacing w:before="0" w:beforeAutospacing="0" w:after="0" w:afterAutospacing="0" w:line="33" w:lineRule="atLeast"/>
              <w:jc w:val="left"/>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一年来，我们坚持党建引领促发展，构建基层治理新格局。持续深化“和顺致祥”党建品牌，开展“四亮”创建活动，推进“五到五促”联系服务群众，引导全镇各级党组织和党员在森林防火、疫情防控、安全生产等中心工作中亮旗帜、亮身份，组织志愿服务160余次，办理民生实事210余件。强化干部“全链式”培养，选派2名年轻干部到村任党总支书记，2名班子成员外出挂职锻炼。以“祥人论坛”大讲堂和“分享有你•祥人有约”为平台，开展乡村振兴系列课程12次。组织党的二十大精神专题党课9场、微宣讲40余次。完善巩固“和顺堂”村民自治模式，开展“和顺堂里话家常”民情恳谈会60余次，通过宣讲政策法规、收集社情民意、解决“急难愁盼”问题、推动各项工作落细落地。我镇“和顺堂”治理模式多次被红星云、学习强国、湖南卫视、岳阳日报等省市媒体宣传推介，依托“和顺堂”建设的柏祥镇政协委员工作室获评省级示范性政协委员工作室荣誉称号，镇连续三年获评市级信访“三无”乡镇。</w:t>
            </w:r>
          </w:p>
          <w:p>
            <w:pPr>
              <w:pStyle w:val="6"/>
              <w:keepNext w:val="0"/>
              <w:keepLines w:val="0"/>
              <w:widowControl/>
              <w:numPr>
                <w:ilvl w:val="0"/>
                <w:numId w:val="0"/>
              </w:numPr>
              <w:suppressLineNumbers w:val="0"/>
              <w:spacing w:before="0" w:beforeAutospacing="0" w:after="0" w:afterAutospacing="0" w:line="33" w:lineRule="atLeast"/>
              <w:jc w:val="left"/>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2、一年来，我们坚持真抓实干引项目，实现基础设施新跨越。先后完成镇西路提质改造工程，集镇面貌大为改观；柏祥中学、七一村道路拓宽油化工程正有序推进。投入抗旱专项资金100余万元，建设抗旱机埠2个，调动小型抗旱提水泵150台，落地岳坊渠系“中梗阻”疏通项目15910米，尽最大可能减少群众农业生产损失。有序开展高标准农田建设，创新农业经营机制加快土地流转，流转土地14000亩，全年落实早稻种植面积3.5万亩、一季稻0.6万亩、晚稻3.8万亩、旱粮0.6万亩，产粮大镇地位持续巩固。扎实推进人居环境整治，采取明查暗访互评等方式，对各村（居）人居环境整治每月一评，对排名倒数第一的村，由镇机关支部到该村开展环境卫生主题党日活动，全镇卫生情况得到极大改观。加大保洁费收取力度，完成新改建厕所150户。设立森林防火检查站18个，购置便携式防灭火设备16台、小型灭火车1台，新增预警平台高清摄像头1个，有效制止秸秆焚烧行为，坚决打赢了“蓝天保卫战”，全年无一起重大火灾发生。</w:t>
            </w:r>
          </w:p>
          <w:p>
            <w:pPr>
              <w:pStyle w:val="6"/>
              <w:keepNext w:val="0"/>
              <w:keepLines w:val="0"/>
              <w:widowControl/>
              <w:numPr>
                <w:ilvl w:val="0"/>
                <w:numId w:val="0"/>
              </w:numPr>
              <w:suppressLineNumbers w:val="0"/>
              <w:spacing w:before="0" w:beforeAutospacing="0" w:after="0" w:afterAutospacing="0" w:line="33" w:lineRule="atLeast"/>
              <w:jc w:val="left"/>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3、一年来，我们坚持以民为本增福祉，推动幸福指数新提升。一是扎实推进教育医疗事业，召开全镇教育工作大会，对优秀教师、班主任进行奖励表彰，营造了尊师重教的浓厚氛围。同时抓实抓好疫情防控及疫苗接种工作，有力保障了人民群众的身体健康。二是扎实推进社会保障，重视社会保障体系建设，强力推进医保、社保征缴工作；做好困难群体托底保障工作，城乡低保、特困供养、临时救助等政策已全部落实到位。三是厚植文明乡风，利用3.8节召开妇女户主会，完善村规民约；开展“和顺屋场”“和顺家庭”“和顺婆婆”“和顺媳妇”等评比活动，动员广大干部群众弘扬新风、崇尚先进。四是推进殡葬改革，严格落实市县违建墓地整治行动要求，共拆除活人墓81座276孔，拆除整治违规墓地49座113孔，迁移已葬墓3座6孔；以村级公益性公墓规划为突破口，探索建立规范殡葬服务管理的长效机制。</w:t>
            </w:r>
          </w:p>
          <w:p>
            <w:pPr>
              <w:pStyle w:val="6"/>
              <w:keepNext w:val="0"/>
              <w:keepLines w:val="0"/>
              <w:widowControl/>
              <w:numPr>
                <w:ilvl w:val="0"/>
                <w:numId w:val="0"/>
              </w:numPr>
              <w:suppressLineNumbers w:val="0"/>
              <w:spacing w:before="0" w:beforeAutospacing="0" w:after="0" w:afterAutospacing="0" w:line="33" w:lineRule="atLeast"/>
              <w:jc w:val="left"/>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4、一年来，我们坚持精心谋划兴产业，展现乡村振兴新作为。一是在巩固拓展脱贫成果与乡村振兴有效衔接上持续加力，对全镇“六类”重点人群每季度开展1次入户大排查，新识别监测户12户47人；采取“一户一策”，落实产业帮扶、就业帮扶、社会救助、综合保障等帮扶措施，确保不发生规模性返贫，圆满完成省、市、县巩固拓展脱贫攻坚成果同乡村振兴有效衔接检查，获评县乡村振兴工作先进单位荣誉称号。二是拓展新型产业，构建了以蒋渭雷公藤、鹅咀绿缘栀子为代表的药材基地，以伏太、柏祥为主的油茶基地，促进农业生产向“精、特、优、强”转型。三是壮大集体经济，开展“消薄清零”行动，制定发展村级集体经济的3种探索模式和7种有效举措，三个薄弱村已如期清零；引导村级集体经济面向市场，发挥资源优势。柏祥村祥乐农产品有限公司，探索“订单制”销售，年收入11.1万元；伏太村致祥种养农民合作社，打造“黄金甲”品牌，年收入9.5万；桑园村新引进总部经济一家，税收返还达20余万元。四是强力招商引资。推进“迎老乡、回故乡、建家乡”，已引导中正新材料进驻园区，本地企业祥柏生态进园区工作正在稳步推进中；引进3家总部经济落户我镇，完成税收891万元，占全年任务的125%；积极筹建“柏祥商会”，营造乡贤能人回归乡梓的浓厚氛围，被授予县级招商引资工作先进单位荣誉称号。</w:t>
            </w:r>
          </w:p>
          <w:p>
            <w:pPr>
              <w:pStyle w:val="6"/>
              <w:keepNext w:val="0"/>
              <w:keepLines w:val="0"/>
              <w:widowControl/>
              <w:numPr>
                <w:ilvl w:val="0"/>
                <w:numId w:val="0"/>
              </w:numPr>
              <w:suppressLineNumbers w:val="0"/>
              <w:spacing w:before="0" w:beforeAutospacing="0" w:after="0" w:afterAutospacing="0" w:line="33" w:lineRule="atLeast"/>
              <w:jc w:val="left"/>
              <w:rPr>
                <w:rFonts w:hint="eastAsia" w:ascii="仿宋" w:hAnsi="仿宋" w:eastAsia="仿宋" w:cs="仿宋"/>
                <w:kern w:val="2"/>
                <w:sz w:val="21"/>
                <w:szCs w:val="21"/>
                <w:lang w:val="en-US" w:eastAsia="zh-CN" w:bidi="ar-SA"/>
              </w:rPr>
            </w:pPr>
            <w:r>
              <w:rPr>
                <w:rFonts w:hint="eastAsia" w:ascii="仿宋" w:hAnsi="仿宋" w:eastAsia="仿宋" w:cs="仿宋"/>
                <w:kern w:val="2"/>
                <w:sz w:val="21"/>
                <w:szCs w:val="21"/>
                <w:lang w:val="en-US" w:eastAsia="zh-CN" w:bidi="ar-SA"/>
              </w:rPr>
              <w:t>5、一年来，我们坚持履职尽责守底线，筑牢风险防范新屏障。一是提升执法效能。实施综合行政执法改革，从工作阵地打造、执法队伍整合、执法体系构建、执法事项梳理和执法力量下沉等五个方面入手，构建权责明确、运转有序、协同高效的综合行政执法体系。组织开展居民自建房安全专项整治及百日攻坚行动，完成经营性房屋排查454栋，非经营性自建房排查8121栋，对存在严重安全隐患的非经营居民自建房13栋，已完成拆除12栋，出具Ｂ级鉴定报告1栋；全年开展控建拆违行动20余次，违法乱占耕地及违法建设皆已清零并无新增。二是抓牢底线工作。组织全体镇村干部、重点岗位从业人员开展涉毒毛发检测，共检测207人，合格率100%。落实安全生产“党政同责、一岗双责”制，累计开展各类安全生产督导检查60余次，排查整改隐患489处，整改率达98.7%；开展交通顽瘴痼疾联合执法48次，查处交通违法586起，查处量同比增长了45%，事故起数和死亡人数实现双下降，被授予县级安全生产工作先进单位荣誉称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840"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95"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6865" w:type="dxa"/>
            <w:gridSpan w:val="1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4" w:hRule="atLeast"/>
          <w:jc w:val="center"/>
        </w:trPr>
        <w:tc>
          <w:tcPr>
            <w:tcW w:w="184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95"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070"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21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atLeast"/>
          <w:jc w:val="center"/>
        </w:trPr>
        <w:tc>
          <w:tcPr>
            <w:tcW w:w="184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柏祥镇</w:t>
            </w:r>
            <w:r>
              <w:rPr>
                <w:rFonts w:hint="eastAsia" w:ascii="仿宋_GB2312" w:hAnsi="仿宋_GB2312" w:eastAsia="仿宋_GB2312" w:cs="仿宋_GB2312"/>
                <w:color w:val="000000"/>
                <w:sz w:val="24"/>
              </w:rPr>
              <w:t>人民政府</w:t>
            </w:r>
          </w:p>
        </w:tc>
        <w:tc>
          <w:tcPr>
            <w:tcW w:w="1095"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6295.53</w:t>
            </w:r>
          </w:p>
        </w:tc>
        <w:tc>
          <w:tcPr>
            <w:tcW w:w="1070"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ind w:firstLine="480" w:firstLineChars="20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21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ind w:firstLine="240" w:firstLineChars="100"/>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6295.53</w:t>
            </w:r>
          </w:p>
        </w:tc>
        <w:tc>
          <w:tcPr>
            <w:tcW w:w="170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ind w:firstLine="720" w:firstLineChars="300"/>
              <w:jc w:val="left"/>
              <w:textAlignment w:val="center"/>
              <w:rPr>
                <w:rFonts w:hint="default" w:ascii="仿宋_GB2312" w:hAnsi="仿宋_GB2312" w:eastAsia="仿宋_GB2312" w:cs="仿宋_GB2312"/>
                <w:color w:val="000000"/>
                <w:sz w:val="24"/>
                <w:lang w:val="en-US"/>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ind w:firstLine="480" w:firstLineChars="20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atLeast"/>
          <w:jc w:val="center"/>
        </w:trPr>
        <w:tc>
          <w:tcPr>
            <w:tcW w:w="184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095"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ind w:firstLine="240" w:firstLineChars="100"/>
              <w:jc w:val="left"/>
              <w:textAlignment w:val="center"/>
              <w:rPr>
                <w:rFonts w:ascii="仿宋_GB2312" w:hAnsi="仿宋_GB2312" w:eastAsia="仿宋_GB2312" w:cs="仿宋_GB2312"/>
                <w:color w:val="000000"/>
                <w:sz w:val="24"/>
              </w:rPr>
            </w:pPr>
          </w:p>
        </w:tc>
        <w:tc>
          <w:tcPr>
            <w:tcW w:w="1070"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ind w:firstLine="480" w:firstLineChars="200"/>
              <w:jc w:val="left"/>
              <w:textAlignment w:val="center"/>
              <w:rPr>
                <w:rFonts w:hint="eastAsia" w:ascii="仿宋_GB2312" w:hAnsi="仿宋_GB2312" w:eastAsia="仿宋_GB2312" w:cs="仿宋_GB2312"/>
                <w:color w:val="000000"/>
                <w:sz w:val="24"/>
              </w:rPr>
            </w:pPr>
          </w:p>
        </w:tc>
        <w:tc>
          <w:tcPr>
            <w:tcW w:w="121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ind w:firstLine="240" w:firstLineChars="100"/>
              <w:jc w:val="left"/>
              <w:textAlignment w:val="center"/>
              <w:rPr>
                <w:rFonts w:ascii="仿宋_GB2312" w:hAnsi="仿宋_GB2312" w:eastAsia="仿宋_GB2312" w:cs="仿宋_GB2312"/>
                <w:color w:val="000000"/>
                <w:sz w:val="24"/>
              </w:rPr>
            </w:pPr>
          </w:p>
        </w:tc>
        <w:tc>
          <w:tcPr>
            <w:tcW w:w="170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ind w:firstLine="720" w:firstLineChars="300"/>
              <w:jc w:val="left"/>
              <w:textAlignment w:val="center"/>
              <w:rPr>
                <w:rFonts w:hint="eastAsia"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ind w:firstLine="480" w:firstLineChars="200"/>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atLeast"/>
          <w:jc w:val="center"/>
        </w:trPr>
        <w:tc>
          <w:tcPr>
            <w:tcW w:w="184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095"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ind w:firstLine="240" w:firstLineChars="100"/>
              <w:jc w:val="left"/>
              <w:textAlignment w:val="center"/>
              <w:rPr>
                <w:rFonts w:ascii="仿宋_GB2312" w:hAnsi="仿宋_GB2312" w:eastAsia="仿宋_GB2312" w:cs="仿宋_GB2312"/>
                <w:color w:val="000000"/>
                <w:sz w:val="24"/>
              </w:rPr>
            </w:pPr>
          </w:p>
        </w:tc>
        <w:tc>
          <w:tcPr>
            <w:tcW w:w="1070"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ind w:firstLine="480" w:firstLineChars="200"/>
              <w:jc w:val="left"/>
              <w:textAlignment w:val="center"/>
              <w:rPr>
                <w:rFonts w:hint="eastAsia" w:ascii="仿宋_GB2312" w:hAnsi="仿宋_GB2312" w:eastAsia="仿宋_GB2312" w:cs="仿宋_GB2312"/>
                <w:color w:val="000000"/>
                <w:sz w:val="24"/>
              </w:rPr>
            </w:pPr>
          </w:p>
        </w:tc>
        <w:tc>
          <w:tcPr>
            <w:tcW w:w="121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ind w:firstLine="240" w:firstLineChars="100"/>
              <w:jc w:val="left"/>
              <w:textAlignment w:val="center"/>
              <w:rPr>
                <w:rFonts w:ascii="仿宋_GB2312" w:hAnsi="仿宋_GB2312" w:eastAsia="仿宋_GB2312" w:cs="仿宋_GB2312"/>
                <w:color w:val="000000"/>
                <w:sz w:val="24"/>
              </w:rPr>
            </w:pPr>
          </w:p>
        </w:tc>
        <w:tc>
          <w:tcPr>
            <w:tcW w:w="170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ind w:firstLine="720" w:firstLineChars="300"/>
              <w:jc w:val="left"/>
              <w:textAlignment w:val="center"/>
              <w:rPr>
                <w:rFonts w:hint="eastAsia"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ind w:firstLine="480" w:firstLineChars="200"/>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atLeast"/>
          <w:jc w:val="center"/>
        </w:trPr>
        <w:tc>
          <w:tcPr>
            <w:tcW w:w="184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095"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ind w:firstLine="240" w:firstLineChars="100"/>
              <w:jc w:val="left"/>
              <w:textAlignment w:val="center"/>
              <w:rPr>
                <w:rFonts w:ascii="仿宋_GB2312" w:hAnsi="仿宋_GB2312" w:eastAsia="仿宋_GB2312" w:cs="仿宋_GB2312"/>
                <w:color w:val="000000"/>
                <w:sz w:val="24"/>
              </w:rPr>
            </w:pPr>
          </w:p>
        </w:tc>
        <w:tc>
          <w:tcPr>
            <w:tcW w:w="1070"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ind w:firstLine="480" w:firstLineChars="200"/>
              <w:jc w:val="left"/>
              <w:textAlignment w:val="center"/>
              <w:rPr>
                <w:rFonts w:hint="eastAsia" w:ascii="仿宋_GB2312" w:hAnsi="仿宋_GB2312" w:eastAsia="仿宋_GB2312" w:cs="仿宋_GB2312"/>
                <w:color w:val="000000"/>
                <w:sz w:val="24"/>
              </w:rPr>
            </w:pPr>
          </w:p>
        </w:tc>
        <w:tc>
          <w:tcPr>
            <w:tcW w:w="121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ind w:firstLine="240" w:firstLineChars="100"/>
              <w:jc w:val="left"/>
              <w:textAlignment w:val="center"/>
              <w:rPr>
                <w:rFonts w:ascii="仿宋_GB2312" w:hAnsi="仿宋_GB2312" w:eastAsia="仿宋_GB2312" w:cs="仿宋_GB2312"/>
                <w:color w:val="000000"/>
                <w:sz w:val="24"/>
              </w:rPr>
            </w:pPr>
          </w:p>
        </w:tc>
        <w:tc>
          <w:tcPr>
            <w:tcW w:w="1705"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ind w:firstLine="720" w:firstLineChars="300"/>
              <w:jc w:val="left"/>
              <w:textAlignment w:val="center"/>
              <w:rPr>
                <w:rFonts w:hint="eastAsia"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ind w:firstLine="480" w:firstLineChars="200"/>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800"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40"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95"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520" w:type="dxa"/>
            <w:gridSpan w:val="8"/>
            <w:tcBorders>
              <w:top w:val="single" w:color="000000"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top w:val="single" w:color="000000" w:sz="4" w:space="0"/>
              <w:left w:val="single" w:color="auto" w:sz="4" w:space="0"/>
              <w:bottom w:val="single" w:color="auto"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4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95"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070" w:type="dxa"/>
            <w:gridSpan w:val="2"/>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370" w:type="dxa"/>
            <w:gridSpan w:val="5"/>
            <w:tcBorders>
              <w:top w:val="single" w:color="auto"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4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95"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070"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21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top w:val="single" w:color="auto"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720"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625"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7" w:hRule="atLeast"/>
          <w:jc w:val="center"/>
        </w:trPr>
        <w:tc>
          <w:tcPr>
            <w:tcW w:w="184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color w:val="000000"/>
                <w:sz w:val="24"/>
                <w:lang w:val="en-US" w:eastAsia="zh-CN"/>
              </w:rPr>
              <w:t>柏祥镇</w:t>
            </w:r>
            <w:r>
              <w:rPr>
                <w:rFonts w:hint="eastAsia" w:ascii="仿宋_GB2312" w:hAnsi="仿宋_GB2312" w:eastAsia="仿宋_GB2312" w:cs="仿宋_GB2312"/>
                <w:color w:val="000000"/>
                <w:sz w:val="24"/>
              </w:rPr>
              <w:t>人民政府</w:t>
            </w:r>
          </w:p>
        </w:tc>
        <w:tc>
          <w:tcPr>
            <w:tcW w:w="1095"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6295.53</w:t>
            </w:r>
          </w:p>
        </w:tc>
        <w:tc>
          <w:tcPr>
            <w:tcW w:w="1070"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6295.53</w:t>
            </w:r>
          </w:p>
        </w:tc>
        <w:tc>
          <w:tcPr>
            <w:tcW w:w="121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995.9</w:t>
            </w:r>
          </w:p>
        </w:tc>
        <w:tc>
          <w:tcPr>
            <w:tcW w:w="216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5299.63</w:t>
            </w: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0</w:t>
            </w: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4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p>
        </w:tc>
        <w:tc>
          <w:tcPr>
            <w:tcW w:w="1095"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70"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1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4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p>
        </w:tc>
        <w:tc>
          <w:tcPr>
            <w:tcW w:w="1095"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70"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1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4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p>
        </w:tc>
        <w:tc>
          <w:tcPr>
            <w:tcW w:w="1095"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70"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1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40"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95"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865" w:type="dxa"/>
            <w:gridSpan w:val="1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4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95"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070"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21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8" w:hRule="atLeast"/>
          <w:jc w:val="center"/>
        </w:trPr>
        <w:tc>
          <w:tcPr>
            <w:tcW w:w="184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lang w:val="en-US" w:eastAsia="zh-CN"/>
              </w:rPr>
              <w:t>柏祥镇</w:t>
            </w:r>
            <w:r>
              <w:rPr>
                <w:rFonts w:hint="eastAsia" w:ascii="仿宋_GB2312" w:hAnsi="仿宋_GB2312" w:eastAsia="仿宋_GB2312" w:cs="仿宋_GB2312"/>
                <w:color w:val="000000"/>
                <w:sz w:val="24"/>
              </w:rPr>
              <w:t>人民政府</w:t>
            </w:r>
          </w:p>
        </w:tc>
        <w:tc>
          <w:tcPr>
            <w:tcW w:w="1095"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4.25</w:t>
            </w:r>
          </w:p>
        </w:tc>
        <w:tc>
          <w:tcPr>
            <w:tcW w:w="1070"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1.25</w:t>
            </w:r>
          </w:p>
        </w:tc>
        <w:tc>
          <w:tcPr>
            <w:tcW w:w="121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w:t>
            </w:r>
          </w:p>
        </w:tc>
        <w:tc>
          <w:tcPr>
            <w:tcW w:w="216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4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95"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70"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1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4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95"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70"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1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40"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95"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5924" w:type="dxa"/>
            <w:gridSpan w:val="10"/>
            <w:tcBorders>
              <w:top w:val="single" w:color="000000"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4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95"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2280"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6"/>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top w:val="single" w:color="000000"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5" w:hRule="atLeast"/>
          <w:jc w:val="center"/>
        </w:trPr>
        <w:tc>
          <w:tcPr>
            <w:tcW w:w="184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color w:val="000000"/>
                <w:sz w:val="24"/>
                <w:lang w:val="en-US" w:eastAsia="zh-CN"/>
              </w:rPr>
              <w:t>柏祥镇</w:t>
            </w:r>
            <w:r>
              <w:rPr>
                <w:rFonts w:hint="eastAsia" w:ascii="仿宋_GB2312" w:hAnsi="仿宋_GB2312" w:eastAsia="仿宋_GB2312" w:cs="仿宋_GB2312"/>
                <w:color w:val="000000"/>
                <w:sz w:val="24"/>
              </w:rPr>
              <w:t>人民政府</w:t>
            </w:r>
          </w:p>
        </w:tc>
        <w:tc>
          <w:tcPr>
            <w:tcW w:w="1095"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391.4</w:t>
            </w:r>
          </w:p>
        </w:tc>
        <w:tc>
          <w:tcPr>
            <w:tcW w:w="2280"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391.4</w:t>
            </w:r>
          </w:p>
        </w:tc>
        <w:tc>
          <w:tcPr>
            <w:tcW w:w="364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4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95"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280"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4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95"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280"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4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95"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280"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52" w:hRule="atLeast"/>
          <w:jc w:val="center"/>
        </w:trPr>
        <w:tc>
          <w:tcPr>
            <w:tcW w:w="1840" w:type="dxa"/>
            <w:gridSpan w:val="2"/>
            <w:vMerge w:val="restart"/>
            <w:tcBorders>
              <w:top w:val="single" w:color="000000" w:sz="4" w:space="0"/>
              <w:left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37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2" w:hRule="atLeast"/>
          <w:jc w:val="center"/>
        </w:trPr>
        <w:tc>
          <w:tcPr>
            <w:tcW w:w="1840" w:type="dxa"/>
            <w:gridSpan w:val="2"/>
            <w:vMerge w:val="continue"/>
            <w:tcBorders>
              <w:left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37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480" w:right="0" w:hanging="480" w:hangingChars="200"/>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目标1：推动地区经济发展，丰富地区文化生活，促进精神文化建设；抓好落实各项惠农，惠农民生工程，为创建平安乡镇提供有力保障。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480" w:right="0" w:hanging="480" w:hangingChars="200"/>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目标2：社会效益、经济效益、生态效益、可持续影响和社会公众满意度达到预期目标；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480" w:right="0" w:hanging="480" w:hangingChars="200"/>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目标3：严格执行国家财务制度和财经纪律，合理开支、厉行节约；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480" w:right="0" w:hanging="480" w:hangingChars="200"/>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目标4：</w:t>
            </w:r>
            <w:r>
              <w:rPr>
                <w:rFonts w:hint="eastAsia" w:ascii="仿宋_GB2312" w:hAnsi="仿宋_GB2312" w:eastAsia="仿宋_GB2312" w:cs="仿宋_GB2312"/>
                <w:color w:val="000000"/>
                <w:sz w:val="24"/>
              </w:rPr>
              <w:t>全年预算申请到位和下达数量在95%以上，</w:t>
            </w:r>
            <w:r>
              <w:rPr>
                <w:rFonts w:hint="eastAsia" w:ascii="仿宋_GB2312" w:hAnsi="仿宋_GB2312" w:eastAsia="仿宋_GB2312" w:cs="仿宋_GB2312"/>
                <w:color w:val="000000"/>
                <w:kern w:val="2"/>
                <w:sz w:val="24"/>
                <w:szCs w:val="24"/>
                <w:lang w:val="en-US" w:eastAsia="zh-CN" w:bidi="ar-SA"/>
              </w:rPr>
              <w:t>严控“三公经费”和重点费用开支。</w:t>
            </w:r>
          </w:p>
          <w:p>
            <w:pPr>
              <w:autoSpaceDN w:val="0"/>
              <w:spacing w:line="320" w:lineRule="exact"/>
              <w:jc w:val="left"/>
              <w:textAlignment w:val="center"/>
              <w:rPr>
                <w:rFonts w:hint="default" w:ascii="仿宋" w:hAnsi="仿宋" w:eastAsia="仿宋" w:cs="仿宋"/>
                <w:sz w:val="24"/>
                <w:lang w:val="en-US" w:eastAsia="zh-CN"/>
              </w:rPr>
            </w:pPr>
            <w:r>
              <w:rPr>
                <w:rFonts w:hint="eastAsia" w:ascii="仿宋" w:hAnsi="仿宋" w:eastAsia="仿宋" w:cs="仿宋"/>
                <w:sz w:val="24"/>
                <w:lang w:val="en-US" w:eastAsia="zh-CN"/>
              </w:rPr>
              <w:t>。</w:t>
            </w:r>
          </w:p>
        </w:tc>
        <w:tc>
          <w:tcPr>
            <w:tcW w:w="4585"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239" w:leftChars="114" w:right="0" w:firstLine="307" w:firstLineChars="128"/>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1、全年目标任务圆满完成，做好党建工作，提升基层党建水平；抓好重点工作，巩固脱贫成果，助力乡村振兴；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239" w:leftChars="114" w:right="0" w:firstLine="307" w:firstLineChars="128"/>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2、制定的各项支出符合国家财经法规和财务管理制度规定以及有关专项资金管理办法的规定；资金的拨付有完整的审批过程和手续，合理开支、厉行节约；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239" w:leftChars="114" w:right="0" w:firstLine="307" w:firstLineChars="128"/>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3、严控三公经费、降低一般运行经费、加强项目支出管理。2022年“三公经费”管理有效控制。</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kern w:val="2"/>
                <w:sz w:val="24"/>
                <w:szCs w:val="24"/>
                <w:lang w:val="en-US" w:eastAsia="zh-CN" w:bidi="ar-SA"/>
              </w:rPr>
              <w:t>4、社会公众满意度95%以上。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840"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567"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150"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ascii="微软雅黑" w:hAnsi="微软雅黑" w:eastAsia="微软雅黑" w:cs="微软雅黑"/>
                <w:i w:val="0"/>
                <w:iCs w:val="0"/>
                <w:caps w:val="0"/>
                <w:color w:val="555555"/>
                <w:spacing w:val="0"/>
                <w:sz w:val="24"/>
                <w:szCs w:val="24"/>
              </w:rPr>
              <w:t>预</w:t>
            </w:r>
            <w:r>
              <w:rPr>
                <w:rFonts w:hint="eastAsia" w:ascii="仿宋_GB2312" w:hAnsi="仿宋_GB2312" w:eastAsia="仿宋_GB2312" w:cs="仿宋_GB2312"/>
                <w:color w:val="000000"/>
                <w:kern w:val="2"/>
                <w:sz w:val="24"/>
                <w:szCs w:val="24"/>
                <w:lang w:val="en-US" w:eastAsia="zh-CN" w:bidi="ar-SA"/>
              </w:rPr>
              <w:t>算调整率10%以下、</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 w:hAnsi="仿宋" w:eastAsia="仿宋" w:cs="仿宋"/>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15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 w:hAnsi="仿宋" w:eastAsia="仿宋" w:cs="仿宋"/>
                <w:sz w:val="24"/>
              </w:rPr>
              <w:t>抛荒耕地完成复耕复垦</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 w:hAnsi="仿宋" w:eastAsia="仿宋" w:cs="仿宋"/>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15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3</w:t>
            </w:r>
            <w:r>
              <w:rPr>
                <w:rFonts w:hint="eastAsia" w:ascii="仿宋_GB2312" w:hAnsi="仿宋_GB2312" w:eastAsia="仿宋_GB2312" w:cs="仿宋_GB2312"/>
                <w:color w:val="000000"/>
                <w:sz w:val="24"/>
              </w:rPr>
              <w:t>：</w:t>
            </w:r>
            <w:r>
              <w:rPr>
                <w:rFonts w:hint="eastAsia" w:ascii="仿宋" w:hAnsi="仿宋" w:eastAsia="仿宋" w:cs="仿宋"/>
                <w:sz w:val="24"/>
              </w:rPr>
              <w:t>争当全县信访工作“三无”乡镇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 w:hAnsi="仿宋" w:eastAsia="仿宋" w:cs="仿宋"/>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15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 w:hAnsi="仿宋" w:eastAsia="仿宋" w:cs="仿宋"/>
                <w:sz w:val="24"/>
              </w:rPr>
              <w:t>三公经费控制率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 w:hAnsi="仿宋" w:eastAsia="仿宋" w:cs="仿宋"/>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84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15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 w:hAnsi="仿宋" w:eastAsia="仿宋" w:cs="仿宋"/>
                <w:sz w:val="24"/>
              </w:rPr>
              <w:t>政府采购执行率</w:t>
            </w:r>
            <w:r>
              <w:rPr>
                <w:rFonts w:ascii="仿宋_GB2312" w:hAnsi="仿宋_GB2312" w:eastAsia="仿宋_GB2312" w:cs="仿宋_GB2312"/>
                <w:color w:val="000000"/>
                <w:sz w:val="24"/>
              </w:rPr>
              <w:t xml:space="preserve"> </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 w:hAnsi="仿宋" w:eastAsia="仿宋" w:cs="仿宋"/>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84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15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hint="eastAsia" w:ascii="仿宋" w:hAnsi="仿宋" w:eastAsia="仿宋" w:cs="仿宋"/>
                <w:sz w:val="24"/>
              </w:rPr>
              <w:t>固定资产利用率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 w:hAnsi="仿宋" w:eastAsia="仿宋" w:cs="仿宋"/>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15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 w:hAnsi="仿宋" w:eastAsia="仿宋" w:cs="仿宋"/>
                <w:sz w:val="24"/>
              </w:rPr>
              <w:t>资金给付及时率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 w:hAnsi="仿宋" w:eastAsia="仿宋" w:cs="仿宋"/>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15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 w:hAnsi="仿宋" w:eastAsia="仿宋" w:cs="仿宋"/>
                <w:sz w:val="24"/>
              </w:rPr>
              <w:t>保障人员工资、津补贴按时足额发放</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 w:hAnsi="仿宋" w:eastAsia="仿宋" w:cs="仿宋"/>
                <w:sz w:val="24"/>
              </w:rPr>
              <w:t>及时发放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15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3</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村级运转资金及时</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 w:cs="仿宋_GB2312"/>
                <w:b/>
                <w:color w:val="000000"/>
                <w:sz w:val="24"/>
                <w:lang w:eastAsia="zh-CN"/>
              </w:rPr>
            </w:pPr>
            <w:r>
              <w:rPr>
                <w:rFonts w:hint="eastAsia" w:ascii="仿宋" w:hAnsi="仿宋" w:eastAsia="仿宋" w:cs="仿宋"/>
                <w:sz w:val="24"/>
              </w:rPr>
              <w:t>及时发</w:t>
            </w:r>
            <w:r>
              <w:rPr>
                <w:rFonts w:hint="eastAsia" w:ascii="仿宋" w:hAnsi="仿宋" w:eastAsia="仿宋" w:cs="仿宋"/>
                <w:sz w:val="24"/>
                <w:lang w:eastAsia="zh-CN"/>
              </w:rPr>
              <w:t>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15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财政支出绩效目标</w:t>
            </w:r>
            <w:r>
              <w:rPr>
                <w:rFonts w:hint="eastAsia" w:ascii="仿宋_GB2312" w:hAnsi="仿宋_GB2312" w:eastAsia="仿宋_GB2312" w:cs="仿宋_GB2312"/>
                <w:color w:val="000000"/>
                <w:sz w:val="24"/>
                <w:lang w:val="en-US" w:eastAsia="zh-CN"/>
              </w:rPr>
              <w:t>6295.53万元</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150"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加强水利、道路、农业等基础设施建设，</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推进环境整治、改善全镇人民的生活质量</w:t>
            </w:r>
            <w:r>
              <w:rPr>
                <w:rFonts w:hint="eastAsia" w:ascii="仿宋_GB2312" w:hAnsi="仿宋_GB2312" w:eastAsia="仿宋_GB2312" w:cs="仿宋_GB2312"/>
                <w:color w:val="000000"/>
                <w:sz w:val="24"/>
                <w:lang w:val="en-US" w:eastAsia="zh-CN"/>
              </w:rPr>
              <w:t>,</w:t>
            </w: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kern w:val="2"/>
                <w:sz w:val="24"/>
                <w:szCs w:val="24"/>
                <w:lang w:val="en-US" w:eastAsia="zh-CN" w:bidi="ar-SA"/>
              </w:rPr>
              <w:t>发展村集体经济，增加群众经济收入</w:t>
            </w:r>
            <w:r>
              <w:rPr>
                <w:rFonts w:hint="eastAsia" w:ascii="仿宋" w:hAnsi="仿宋" w:eastAsia="仿宋" w:cs="仿宋"/>
                <w:sz w:val="24"/>
                <w:lang w:val="en-US" w:eastAsia="zh-CN"/>
              </w:rPr>
              <w:t>。</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numPr>
                <w:ilvl w:val="0"/>
                <w:numId w:val="0"/>
              </w:numPr>
              <w:autoSpaceDN w:val="0"/>
              <w:spacing w:line="320" w:lineRule="exact"/>
              <w:jc w:val="left"/>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lang w:eastAsia="zh-CN"/>
              </w:rPr>
              <w:t>给社会群众带来直接或间接的生活便利，提高全镇人民生活质量</w:t>
            </w:r>
            <w:r>
              <w:rPr>
                <w:rFonts w:hint="eastAsia" w:ascii="仿宋_GB2312" w:hAnsi="仿宋_GB2312" w:eastAsia="仿宋_GB2312" w:cs="仿宋_GB2312"/>
                <w:color w:val="000000"/>
                <w:kern w:val="2"/>
                <w:sz w:val="24"/>
                <w:szCs w:val="24"/>
                <w:lang w:val="en-US"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15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改善全镇人民的生活质量</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w:t>
            </w:r>
            <w:r>
              <w:rPr>
                <w:rFonts w:hint="eastAsia" w:ascii="仿宋_GB2312" w:hAnsi="仿宋_GB2312" w:eastAsia="仿宋_GB2312" w:cs="仿宋_GB2312"/>
                <w:color w:val="000000"/>
                <w:sz w:val="24"/>
                <w:lang w:eastAsia="zh-CN"/>
              </w:rPr>
              <w:t>带动全镇经济发展</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指标</w:t>
            </w:r>
            <w:r>
              <w:rPr>
                <w:rFonts w:hint="eastAsia" w:ascii="仿宋_GB2312" w:hAnsi="仿宋_GB2312" w:eastAsia="仿宋_GB2312" w:cs="仿宋_GB2312"/>
                <w:color w:val="000000"/>
                <w:sz w:val="24"/>
                <w:lang w:val="en-US" w:eastAsia="zh-CN"/>
              </w:rPr>
              <w:t>3：提高人均收入水平</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lang w:eastAsia="zh-CN"/>
              </w:rPr>
              <w:t>提升全镇</w:t>
            </w:r>
            <w:r>
              <w:rPr>
                <w:rFonts w:hint="eastAsia" w:ascii="仿宋_GB2312" w:hAnsi="仿宋_GB2312" w:eastAsia="仿宋_GB2312" w:cs="仿宋_GB2312"/>
                <w:color w:val="000000"/>
                <w:sz w:val="24"/>
                <w:lang w:val="en-US" w:eastAsia="zh-CN"/>
              </w:rPr>
              <w:t>人民生活水平，带动全镇经济发展</w:t>
            </w:r>
            <w:r>
              <w:rPr>
                <w:rFonts w:hint="eastAsia" w:ascii="仿宋_GB2312" w:hAnsi="仿宋_GB2312" w:eastAsia="仿宋_GB2312" w:cs="仿宋_GB2312"/>
                <w:bCs/>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95" w:type="dxa"/>
            <w:vMerge w:val="restart"/>
            <w:tcBorders>
              <w:top w:val="single" w:color="000000" w:sz="4" w:space="0"/>
              <w:left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72"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w:t>
            </w: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：改善人居环境</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numPr>
                <w:ilvl w:val="0"/>
                <w:numId w:val="0"/>
              </w:numPr>
              <w:autoSpaceDN w:val="0"/>
              <w:spacing w:line="320" w:lineRule="exact"/>
              <w:jc w:val="both"/>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长期目标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840"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9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72"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社会公众满意度</w:t>
            </w:r>
            <w:r>
              <w:rPr>
                <w:rFonts w:hint="default" w:ascii="Arial" w:hAnsi="Arial" w:eastAsia="仿宋" w:cs="Arial"/>
                <w:sz w:val="24"/>
              </w:rPr>
              <w:t>≥</w:t>
            </w:r>
            <w:r>
              <w:rPr>
                <w:rFonts w:hint="eastAsia" w:ascii="仿宋_GB2312" w:hAnsi="仿宋_GB2312" w:eastAsia="仿宋_GB2312" w:cs="仿宋_GB2312"/>
                <w:color w:val="000000"/>
                <w:sz w:val="24"/>
                <w:lang w:val="en-US" w:eastAsia="zh-CN"/>
              </w:rPr>
              <w:t>95%以上</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b/>
                <w:color w:val="000000"/>
                <w:sz w:val="24"/>
              </w:rPr>
            </w:pPr>
            <w:r>
              <w:rPr>
                <w:rFonts w:ascii="仿宋" w:hAnsi="仿宋" w:eastAsia="仿宋" w:cs="仿宋"/>
                <w:sz w:val="24"/>
              </w:rPr>
              <w:t>9</w:t>
            </w:r>
            <w:r>
              <w:rPr>
                <w:rFonts w:hint="eastAsia" w:ascii="仿宋" w:hAnsi="仿宋" w:eastAsia="仿宋" w:cs="仿宋"/>
                <w:sz w:val="24"/>
                <w:lang w:val="en-US" w:eastAsia="zh-CN"/>
              </w:rPr>
              <w:t>6</w:t>
            </w:r>
            <w:r>
              <w:rPr>
                <w:rFonts w:hint="eastAsia" w:ascii="仿宋" w:hAnsi="仿宋" w:eastAsia="仿宋" w:cs="仿宋"/>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3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65"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w:t>
            </w:r>
            <w:r>
              <w:rPr>
                <w:rFonts w:ascii="仿宋_GB2312" w:hAnsi="仿宋_GB2312" w:eastAsia="仿宋_GB2312" w:cs="仿宋_GB2312"/>
                <w:color w:val="000000"/>
                <w:sz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3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65"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9800"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08"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607"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90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08"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张磊</w:t>
            </w:r>
          </w:p>
        </w:tc>
        <w:tc>
          <w:tcPr>
            <w:tcW w:w="3607"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镇长/副书记</w:t>
            </w:r>
          </w:p>
        </w:tc>
        <w:tc>
          <w:tcPr>
            <w:tcW w:w="190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柏祥镇</w:t>
            </w:r>
            <w:r>
              <w:rPr>
                <w:rFonts w:hint="eastAsia" w:ascii="仿宋_GB2312" w:hAnsi="仿宋_GB2312" w:eastAsia="仿宋_GB2312" w:cs="仿宋_GB2312"/>
                <w:color w:val="000000"/>
                <w:sz w:val="24"/>
              </w:rPr>
              <w:t>人民政府</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08"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吴红波</w:t>
            </w:r>
          </w:p>
        </w:tc>
        <w:tc>
          <w:tcPr>
            <w:tcW w:w="3607"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人大主席</w:t>
            </w:r>
          </w:p>
        </w:tc>
        <w:tc>
          <w:tcPr>
            <w:tcW w:w="190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柏祥镇</w:t>
            </w:r>
            <w:r>
              <w:rPr>
                <w:rFonts w:hint="eastAsia" w:ascii="仿宋_GB2312" w:hAnsi="仿宋_GB2312" w:eastAsia="仿宋_GB2312" w:cs="仿宋_GB2312"/>
                <w:color w:val="000000"/>
                <w:sz w:val="24"/>
              </w:rPr>
              <w:t>人民政府</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08"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侯科</w:t>
            </w:r>
          </w:p>
        </w:tc>
        <w:tc>
          <w:tcPr>
            <w:tcW w:w="3607"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财政所所长</w:t>
            </w:r>
          </w:p>
        </w:tc>
        <w:tc>
          <w:tcPr>
            <w:tcW w:w="190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柏祥镇</w:t>
            </w:r>
            <w:r>
              <w:rPr>
                <w:rFonts w:hint="eastAsia" w:ascii="仿宋_GB2312" w:hAnsi="仿宋_GB2312" w:eastAsia="仿宋_GB2312" w:cs="仿宋_GB2312"/>
                <w:color w:val="000000"/>
                <w:sz w:val="24"/>
              </w:rPr>
              <w:t>人民政府</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08"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07"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90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hint="eastAsia" w:eastAsia="仿宋_GB2312" w:cs="仿宋_GB2312"/>
          <w:bCs/>
          <w:sz w:val="28"/>
          <w:szCs w:val="28"/>
          <w:lang w:val="en-US" w:eastAsia="zh-CN"/>
        </w:rPr>
        <w:t>黄刚强</w:t>
      </w:r>
      <w:r>
        <w:rPr>
          <w:rFonts w:hint="eastAsia" w:eastAsia="仿宋_GB2312" w:cs="仿宋_GB2312"/>
          <w:bCs/>
          <w:sz w:val="28"/>
          <w:szCs w:val="28"/>
        </w:rPr>
        <w:t xml:space="preserve">                   联系电话：</w:t>
      </w:r>
      <w:r>
        <w:rPr>
          <w:rFonts w:hint="eastAsia" w:ascii="仿宋_GB2312" w:hAnsi="仿宋_GB2312" w:eastAsia="仿宋_GB2312" w:cs="仿宋_GB2312"/>
          <w:color w:val="000000"/>
          <w:sz w:val="24"/>
          <w:lang w:val="en-US" w:eastAsia="zh-CN"/>
        </w:rPr>
        <w:t>13874015474</w:t>
      </w:r>
    </w:p>
    <w:tbl>
      <w:tblPr>
        <w:tblStyle w:val="7"/>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autoSpaceDN/>
              <w:bidi w:val="0"/>
              <w:adjustRightInd/>
              <w:snapToGrid/>
              <w:spacing w:line="600" w:lineRule="exact"/>
              <w:jc w:val="center"/>
              <w:textAlignment w:val="auto"/>
              <w:rPr>
                <w:rFonts w:eastAsia="仿宋_GB2312"/>
                <w:sz w:val="44"/>
                <w:szCs w:val="44"/>
              </w:rPr>
            </w:pPr>
            <w:r>
              <w:rPr>
                <w:rFonts w:hint="eastAsia" w:ascii="黑体" w:hAnsi="黑体" w:eastAsia="黑体" w:cs="黑体"/>
                <w:bCs/>
                <w:sz w:val="44"/>
                <w:szCs w:val="44"/>
              </w:rPr>
              <w:t>五、评价报告综述</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w:t>
            </w:r>
            <w:r>
              <w:rPr>
                <w:rFonts w:hint="eastAsia" w:ascii="黑体" w:hAnsi="黑体" w:eastAsia="黑体" w:cs="黑体"/>
                <w:bCs/>
                <w:sz w:val="28"/>
                <w:szCs w:val="28"/>
                <w:lang w:eastAsia="zh-CN"/>
              </w:rPr>
              <w:t>柏祥镇人民政府</w:t>
            </w:r>
            <w:r>
              <w:rPr>
                <w:rFonts w:hint="eastAsia" w:ascii="黑体" w:hAnsi="黑体" w:eastAsia="黑体" w:cs="黑体"/>
                <w:bCs/>
                <w:sz w:val="28"/>
                <w:szCs w:val="28"/>
              </w:rPr>
              <w:t>部门（单位）概况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（一）部门（单位）基本情况：我单位包含政府机关及社会事业综合服务中心、农业综合服务中心、政务（便民）服务中心、退役军人服务站构成</w:t>
            </w:r>
            <w:r>
              <w:rPr>
                <w:rFonts w:hint="eastAsia" w:ascii="仿宋_GB2312" w:hAnsi="仿宋_GB2312" w:eastAsia="仿宋_GB2312" w:cs="仿宋_GB2312"/>
                <w:bCs/>
                <w:sz w:val="28"/>
                <w:szCs w:val="28"/>
                <w:lang w:eastAsia="zh-CN"/>
              </w:rPr>
              <w:t>、综合行政执法大队</w:t>
            </w:r>
            <w:r>
              <w:rPr>
                <w:rFonts w:hint="eastAsia" w:ascii="仿宋_GB2312" w:hAnsi="仿宋_GB2312" w:eastAsia="仿宋_GB2312" w:cs="仿宋_GB2312"/>
                <w:bCs/>
                <w:sz w:val="28"/>
                <w:szCs w:val="28"/>
              </w:rPr>
              <w:t>5个二级机构。全部为财政全额拨款单位，执行行政单位会计制度，在职干部</w:t>
            </w:r>
            <w:r>
              <w:rPr>
                <w:rFonts w:hint="eastAsia" w:ascii="仿宋_GB2312" w:hAnsi="仿宋_GB2312" w:eastAsia="仿宋_GB2312" w:cs="仿宋_GB2312"/>
                <w:bCs/>
                <w:sz w:val="28"/>
                <w:szCs w:val="28"/>
                <w:lang w:val="en-US" w:eastAsia="zh-CN"/>
              </w:rPr>
              <w:t>85</w:t>
            </w:r>
            <w:r>
              <w:rPr>
                <w:rFonts w:hint="eastAsia" w:ascii="仿宋_GB2312" w:hAnsi="仿宋_GB2312" w:eastAsia="仿宋_GB2312" w:cs="仿宋_GB2312"/>
                <w:bCs/>
                <w:sz w:val="28"/>
                <w:szCs w:val="28"/>
              </w:rPr>
              <w:t>人、退休</w:t>
            </w:r>
            <w:r>
              <w:rPr>
                <w:rFonts w:hint="eastAsia" w:ascii="仿宋_GB2312" w:hAnsi="仿宋_GB2312" w:eastAsia="仿宋_GB2312" w:cs="仿宋_GB2312"/>
                <w:bCs/>
                <w:sz w:val="28"/>
                <w:szCs w:val="28"/>
                <w:lang w:val="en-US" w:eastAsia="zh-CN"/>
              </w:rPr>
              <w:t>34</w:t>
            </w:r>
            <w:r>
              <w:rPr>
                <w:rFonts w:hint="eastAsia" w:ascii="仿宋_GB2312" w:hAnsi="仿宋_GB2312" w:eastAsia="仿宋_GB2312" w:cs="仿宋_GB2312"/>
                <w:bCs/>
                <w:sz w:val="28"/>
                <w:szCs w:val="28"/>
              </w:rPr>
              <w:t>人</w:t>
            </w:r>
            <w:r>
              <w:rPr>
                <w:rFonts w:hint="eastAsia" w:ascii="仿宋_GB2312" w:hAnsi="仿宋_GB2312" w:eastAsia="仿宋_GB2312" w:cs="仿宋_GB2312"/>
                <w:bCs/>
                <w:sz w:val="28"/>
                <w:szCs w:val="28"/>
                <w:lang w:eastAsia="zh-CN"/>
              </w:rPr>
              <w:t>、三性用工</w:t>
            </w:r>
            <w:r>
              <w:rPr>
                <w:rFonts w:hint="eastAsia" w:ascii="仿宋_GB2312" w:hAnsi="仿宋_GB2312" w:eastAsia="仿宋_GB2312" w:cs="仿宋_GB2312"/>
                <w:bCs/>
                <w:sz w:val="28"/>
                <w:szCs w:val="28"/>
                <w:lang w:val="en-US" w:eastAsia="zh-CN"/>
              </w:rPr>
              <w:t>7人</w:t>
            </w:r>
            <w:r>
              <w:rPr>
                <w:rFonts w:hint="eastAsia" w:ascii="仿宋_GB2312" w:hAnsi="仿宋_GB2312" w:eastAsia="仿宋_GB2312" w:cs="仿宋_GB2312"/>
                <w:bCs/>
                <w:sz w:val="28"/>
                <w:szCs w:val="28"/>
              </w:rPr>
              <w:t>。</w:t>
            </w:r>
          </w:p>
          <w:p>
            <w:pPr>
              <w:spacing w:line="58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（二）部门（单位）整体支出规模、使用方向和主要内容、涉及范围等1、收支决算总体情况。我部门202</w:t>
            </w:r>
            <w:r>
              <w:rPr>
                <w:rFonts w:hint="eastAsia" w:ascii="仿宋_GB2312" w:hAnsi="仿宋_GB2312" w:eastAsia="仿宋_GB2312" w:cs="仿宋_GB2312"/>
                <w:bCs/>
                <w:sz w:val="28"/>
                <w:szCs w:val="28"/>
                <w:lang w:val="en-US" w:eastAsia="zh-CN"/>
              </w:rPr>
              <w:t>2</w:t>
            </w:r>
            <w:r>
              <w:rPr>
                <w:rFonts w:hint="eastAsia" w:ascii="仿宋_GB2312" w:hAnsi="仿宋_GB2312" w:eastAsia="仿宋_GB2312" w:cs="仿宋_GB2312"/>
                <w:bCs/>
                <w:sz w:val="28"/>
                <w:szCs w:val="28"/>
              </w:rPr>
              <w:t>年度决算收</w:t>
            </w:r>
            <w:r>
              <w:rPr>
                <w:rFonts w:hint="eastAsia" w:ascii="仿宋_GB2312" w:hAnsi="仿宋_GB2312" w:eastAsia="仿宋_GB2312" w:cs="仿宋_GB2312"/>
                <w:bCs/>
                <w:sz w:val="28"/>
                <w:szCs w:val="28"/>
                <w:lang w:eastAsia="zh-CN"/>
              </w:rPr>
              <w:t>支总计</w:t>
            </w:r>
            <w:r>
              <w:rPr>
                <w:rFonts w:hint="eastAsia" w:ascii="仿宋_GB2312" w:hAnsi="仿宋_GB2312" w:eastAsia="仿宋_GB2312" w:cs="仿宋_GB2312"/>
                <w:bCs/>
                <w:sz w:val="28"/>
                <w:szCs w:val="28"/>
                <w:lang w:val="en-US" w:eastAsia="zh-CN"/>
              </w:rPr>
              <w:t>6295.53</w:t>
            </w:r>
            <w:r>
              <w:rPr>
                <w:rFonts w:hint="eastAsia" w:ascii="仿宋_GB2312" w:hAnsi="仿宋_GB2312" w:eastAsia="仿宋_GB2312" w:cs="仿宋_GB2312"/>
                <w:bCs/>
                <w:sz w:val="28"/>
                <w:szCs w:val="28"/>
              </w:rPr>
              <w:t>万元，比20</w:t>
            </w:r>
            <w:r>
              <w:rPr>
                <w:rFonts w:hint="eastAsia" w:ascii="仿宋_GB2312" w:hAnsi="仿宋_GB2312" w:eastAsia="仿宋_GB2312" w:cs="仿宋_GB2312"/>
                <w:bCs/>
                <w:sz w:val="28"/>
                <w:szCs w:val="28"/>
                <w:lang w:val="en-US" w:eastAsia="zh-CN"/>
              </w:rPr>
              <w:t>21</w:t>
            </w:r>
            <w:r>
              <w:rPr>
                <w:rFonts w:hint="eastAsia" w:ascii="仿宋_GB2312" w:hAnsi="仿宋_GB2312" w:eastAsia="仿宋_GB2312" w:cs="仿宋_GB2312"/>
                <w:bCs/>
                <w:sz w:val="28"/>
                <w:szCs w:val="28"/>
              </w:rPr>
              <w:t>年</w:t>
            </w:r>
            <w:r>
              <w:rPr>
                <w:rFonts w:hint="eastAsia" w:ascii="仿宋_GB2312" w:hAnsi="仿宋_GB2312" w:eastAsia="仿宋_GB2312" w:cs="仿宋_GB2312"/>
                <w:bCs/>
                <w:sz w:val="28"/>
                <w:szCs w:val="28"/>
                <w:lang w:val="en-US" w:eastAsia="zh-CN"/>
              </w:rPr>
              <w:t>增加3747.65</w:t>
            </w:r>
            <w:r>
              <w:rPr>
                <w:rFonts w:hint="eastAsia" w:ascii="仿宋_GB2312" w:hAnsi="仿宋_GB2312" w:eastAsia="仿宋_GB2312" w:cs="仿宋_GB2312"/>
                <w:bCs/>
                <w:sz w:val="28"/>
                <w:szCs w:val="28"/>
              </w:rPr>
              <w:t>万元，变化原因主要是</w:t>
            </w:r>
            <w:r>
              <w:rPr>
                <w:rFonts w:hint="eastAsia" w:ascii="仿宋_GB2312" w:hAnsi="仿宋_GB2312" w:eastAsia="仿宋_GB2312" w:cs="仿宋_GB2312"/>
                <w:bCs/>
                <w:sz w:val="28"/>
                <w:szCs w:val="28"/>
                <w:lang w:eastAsia="zh-CN"/>
              </w:rPr>
              <w:t>上级</w:t>
            </w:r>
            <w:r>
              <w:rPr>
                <w:rFonts w:hint="eastAsia" w:ascii="仿宋_GB2312" w:hAnsi="仿宋_GB2312" w:eastAsia="仿宋_GB2312" w:cs="仿宋_GB2312"/>
                <w:bCs/>
                <w:sz w:val="28"/>
                <w:szCs w:val="28"/>
                <w:lang w:val="en-US" w:eastAsia="zh-CN"/>
              </w:rPr>
              <w:t>往来</w:t>
            </w:r>
            <w:r>
              <w:rPr>
                <w:rFonts w:hint="eastAsia" w:ascii="仿宋_GB2312" w:hAnsi="仿宋_GB2312" w:eastAsia="仿宋_GB2312" w:cs="仿宋_GB2312"/>
                <w:bCs/>
                <w:sz w:val="28"/>
                <w:szCs w:val="28"/>
                <w:lang w:eastAsia="zh-CN"/>
              </w:rPr>
              <w:t>指标</w:t>
            </w:r>
            <w:r>
              <w:rPr>
                <w:rFonts w:hint="eastAsia" w:ascii="仿宋_GB2312" w:hAnsi="仿宋_GB2312" w:eastAsia="仿宋_GB2312" w:cs="仿宋_GB2312"/>
                <w:bCs/>
                <w:sz w:val="28"/>
                <w:szCs w:val="28"/>
                <w:lang w:val="en-US" w:eastAsia="zh-CN"/>
              </w:rPr>
              <w:t>增加</w:t>
            </w:r>
            <w:r>
              <w:rPr>
                <w:rFonts w:hint="eastAsia" w:ascii="仿宋_GB2312" w:hAnsi="仿宋_GB2312" w:eastAsia="仿宋_GB2312" w:cs="仿宋_GB2312"/>
                <w:bCs/>
                <w:sz w:val="28"/>
                <w:szCs w:val="28"/>
              </w:rPr>
              <w:t>。</w:t>
            </w:r>
          </w:p>
          <w:p>
            <w:pPr>
              <w:spacing w:line="58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2、收入决算情况。我镇202</w:t>
            </w:r>
            <w:r>
              <w:rPr>
                <w:rFonts w:hint="eastAsia" w:ascii="仿宋_GB2312" w:hAnsi="仿宋_GB2312" w:eastAsia="仿宋_GB2312" w:cs="仿宋_GB2312"/>
                <w:bCs/>
                <w:sz w:val="28"/>
                <w:szCs w:val="28"/>
                <w:lang w:val="en-US" w:eastAsia="zh-CN"/>
              </w:rPr>
              <w:t>2</w:t>
            </w:r>
            <w:r>
              <w:rPr>
                <w:rFonts w:hint="eastAsia" w:ascii="仿宋_GB2312" w:hAnsi="仿宋_GB2312" w:eastAsia="仿宋_GB2312" w:cs="仿宋_GB2312"/>
                <w:bCs/>
                <w:sz w:val="28"/>
                <w:szCs w:val="28"/>
              </w:rPr>
              <w:t>年度收入</w:t>
            </w:r>
            <w:r>
              <w:rPr>
                <w:rFonts w:hint="eastAsia" w:ascii="仿宋_GB2312" w:hAnsi="仿宋_GB2312" w:eastAsia="仿宋_GB2312" w:cs="仿宋_GB2312"/>
                <w:bCs/>
                <w:sz w:val="28"/>
                <w:szCs w:val="28"/>
                <w:lang w:val="en-US" w:eastAsia="zh-CN"/>
              </w:rPr>
              <w:t>6295.53</w:t>
            </w:r>
            <w:r>
              <w:rPr>
                <w:rFonts w:hint="eastAsia" w:ascii="仿宋_GB2312" w:hAnsi="仿宋_GB2312" w:eastAsia="仿宋_GB2312" w:cs="仿宋_GB2312"/>
                <w:bCs/>
                <w:sz w:val="28"/>
                <w:szCs w:val="28"/>
              </w:rPr>
              <w:t>万元，其中：上级财政补助收入</w:t>
            </w:r>
            <w:r>
              <w:rPr>
                <w:rFonts w:hint="eastAsia" w:ascii="仿宋_GB2312" w:hAnsi="仿宋_GB2312" w:eastAsia="仿宋_GB2312" w:cs="仿宋_GB2312"/>
                <w:bCs/>
                <w:sz w:val="28"/>
                <w:szCs w:val="28"/>
                <w:lang w:val="en-US" w:eastAsia="zh-CN"/>
              </w:rPr>
              <w:t>5934.53</w:t>
            </w:r>
            <w:r>
              <w:rPr>
                <w:rFonts w:hint="eastAsia" w:ascii="仿宋_GB2312" w:hAnsi="仿宋_GB2312" w:eastAsia="仿宋_GB2312" w:cs="仿宋_GB2312"/>
                <w:bCs/>
                <w:sz w:val="28"/>
                <w:szCs w:val="28"/>
              </w:rPr>
              <w:t>万元，地方公共财政决算收入</w:t>
            </w:r>
            <w:r>
              <w:rPr>
                <w:rFonts w:hint="eastAsia" w:ascii="仿宋_GB2312" w:hAnsi="仿宋_GB2312" w:eastAsia="仿宋_GB2312" w:cs="仿宋_GB2312"/>
                <w:bCs/>
                <w:sz w:val="28"/>
                <w:szCs w:val="28"/>
                <w:lang w:val="en-US" w:eastAsia="zh-CN"/>
              </w:rPr>
              <w:t>361</w:t>
            </w:r>
            <w:r>
              <w:rPr>
                <w:rFonts w:hint="eastAsia" w:ascii="仿宋_GB2312" w:hAnsi="仿宋_GB2312" w:eastAsia="仿宋_GB2312" w:cs="仿宋_GB2312"/>
                <w:bCs/>
                <w:sz w:val="28"/>
                <w:szCs w:val="28"/>
              </w:rPr>
              <w:t>万元。</w:t>
            </w:r>
          </w:p>
          <w:p>
            <w:pPr>
              <w:spacing w:line="58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rPr>
              <w:t>3、支出决算情况。202</w:t>
            </w:r>
            <w:r>
              <w:rPr>
                <w:rFonts w:hint="eastAsia" w:ascii="仿宋_GB2312" w:hAnsi="仿宋_GB2312" w:eastAsia="仿宋_GB2312" w:cs="仿宋_GB2312"/>
                <w:bCs/>
                <w:sz w:val="28"/>
                <w:szCs w:val="28"/>
                <w:lang w:val="en-US" w:eastAsia="zh-CN"/>
              </w:rPr>
              <w:t>2</w:t>
            </w:r>
            <w:r>
              <w:rPr>
                <w:rFonts w:hint="eastAsia" w:ascii="仿宋_GB2312" w:hAnsi="仿宋_GB2312" w:eastAsia="仿宋_GB2312" w:cs="仿宋_GB2312"/>
                <w:bCs/>
                <w:sz w:val="28"/>
                <w:szCs w:val="28"/>
              </w:rPr>
              <w:t>年度支出</w:t>
            </w:r>
            <w:r>
              <w:rPr>
                <w:rFonts w:hint="eastAsia" w:ascii="仿宋_GB2312" w:hAnsi="仿宋_GB2312" w:eastAsia="仿宋_GB2312" w:cs="仿宋_GB2312"/>
                <w:bCs/>
                <w:sz w:val="28"/>
                <w:szCs w:val="28"/>
                <w:lang w:val="en-US" w:eastAsia="zh-CN"/>
              </w:rPr>
              <w:t>6295.53</w:t>
            </w:r>
            <w:r>
              <w:rPr>
                <w:rFonts w:hint="eastAsia" w:ascii="仿宋_GB2312" w:hAnsi="仿宋_GB2312" w:eastAsia="仿宋_GB2312" w:cs="仿宋_GB2312"/>
                <w:bCs/>
                <w:sz w:val="28"/>
                <w:szCs w:val="28"/>
              </w:rPr>
              <w:t>万元，</w:t>
            </w:r>
            <w:r>
              <w:rPr>
                <w:rFonts w:hint="eastAsia" w:ascii="仿宋_GB2312" w:hAnsi="仿宋_GB2312" w:eastAsia="仿宋_GB2312" w:cs="仿宋_GB2312"/>
                <w:bCs/>
                <w:sz w:val="28"/>
                <w:szCs w:val="28"/>
                <w:lang w:eastAsia="zh-CN"/>
              </w:rPr>
              <w:t>其中一般公共服务支出</w:t>
            </w:r>
            <w:r>
              <w:rPr>
                <w:rFonts w:hint="eastAsia" w:ascii="仿宋_GB2312" w:hAnsi="仿宋_GB2312" w:eastAsia="仿宋_GB2312" w:cs="仿宋_GB2312"/>
                <w:bCs/>
                <w:sz w:val="28"/>
                <w:szCs w:val="28"/>
                <w:lang w:val="en-US" w:eastAsia="zh-CN"/>
              </w:rPr>
              <w:t>1810.5万元、国防支出3万元、公共安全支10万元、教育支出3万元、社会保障和就业支出199.1万元、医疗卫生与计划生育支出36.8万元、城乡社区支出220万元、农林水支出186.8万元、交通运输支出50万元、商业服务支出10万元、住房保障支出52万元、预备费10万元、其他支出3704.33万元。</w:t>
            </w:r>
          </w:p>
          <w:p>
            <w:pPr>
              <w:widowControl/>
              <w:shd w:val="clear" w:color="auto" w:fill="FFFFFF"/>
              <w:spacing w:line="480" w:lineRule="auto"/>
              <w:ind w:firstLine="48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4、一般公共决算财政拨款“三公”经费支出决算情况。我202</w:t>
            </w:r>
            <w:r>
              <w:rPr>
                <w:rFonts w:hint="eastAsia" w:ascii="仿宋_GB2312" w:hAnsi="仿宋_GB2312" w:eastAsia="仿宋_GB2312" w:cs="仿宋_GB2312"/>
                <w:bCs/>
                <w:sz w:val="28"/>
                <w:szCs w:val="28"/>
                <w:lang w:val="en-US" w:eastAsia="zh-CN"/>
              </w:rPr>
              <w:t>2</w:t>
            </w:r>
            <w:r>
              <w:rPr>
                <w:rFonts w:hint="eastAsia" w:ascii="仿宋_GB2312" w:hAnsi="仿宋_GB2312" w:eastAsia="仿宋_GB2312" w:cs="仿宋_GB2312"/>
                <w:bCs/>
                <w:sz w:val="28"/>
                <w:szCs w:val="28"/>
              </w:rPr>
              <w:t>年度“三公”经费支出合计为</w:t>
            </w:r>
            <w:r>
              <w:rPr>
                <w:rFonts w:hint="eastAsia" w:ascii="仿宋_GB2312" w:hAnsi="仿宋_GB2312" w:eastAsia="仿宋_GB2312" w:cs="仿宋_GB2312"/>
                <w:bCs/>
                <w:sz w:val="28"/>
                <w:szCs w:val="28"/>
                <w:lang w:val="en-US" w:eastAsia="zh-CN"/>
              </w:rPr>
              <w:t>4.25</w:t>
            </w:r>
            <w:r>
              <w:rPr>
                <w:rFonts w:hint="eastAsia" w:ascii="仿宋_GB2312" w:hAnsi="仿宋_GB2312" w:eastAsia="仿宋_GB2312" w:cs="仿宋_GB2312"/>
                <w:bCs/>
                <w:sz w:val="28"/>
                <w:szCs w:val="28"/>
              </w:rPr>
              <w:t>万元。</w:t>
            </w:r>
            <w:r>
              <w:rPr>
                <w:rFonts w:hint="eastAsia" w:ascii="仿宋_GB2312" w:hAnsi="仿宋_GB2312" w:eastAsia="仿宋_GB2312" w:cs="仿宋_GB2312"/>
                <w:bCs/>
                <w:sz w:val="28"/>
                <w:szCs w:val="28"/>
                <w:lang w:eastAsia="zh-CN"/>
              </w:rPr>
              <w:t>相比</w:t>
            </w:r>
            <w:r>
              <w:rPr>
                <w:rFonts w:hint="eastAsia" w:ascii="仿宋_GB2312" w:hAnsi="仿宋_GB2312" w:eastAsia="仿宋_GB2312" w:cs="仿宋_GB2312"/>
                <w:bCs/>
                <w:sz w:val="28"/>
                <w:szCs w:val="28"/>
              </w:rPr>
              <w:t>20</w:t>
            </w:r>
            <w:r>
              <w:rPr>
                <w:rFonts w:hint="eastAsia" w:ascii="仿宋_GB2312" w:hAnsi="仿宋_GB2312" w:eastAsia="仿宋_GB2312" w:cs="仿宋_GB2312"/>
                <w:bCs/>
                <w:sz w:val="28"/>
                <w:szCs w:val="28"/>
                <w:lang w:val="en-US" w:eastAsia="zh-CN"/>
              </w:rPr>
              <w:t>21</w:t>
            </w:r>
            <w:r>
              <w:rPr>
                <w:rFonts w:hint="eastAsia" w:ascii="仿宋_GB2312" w:hAnsi="仿宋_GB2312" w:eastAsia="仿宋_GB2312" w:cs="仿宋_GB2312"/>
                <w:bCs/>
                <w:sz w:val="28"/>
                <w:szCs w:val="28"/>
              </w:rPr>
              <w:t>年决算数</w:t>
            </w:r>
            <w:r>
              <w:rPr>
                <w:rFonts w:hint="eastAsia" w:ascii="仿宋_GB2312" w:hAnsi="仿宋_GB2312" w:eastAsia="仿宋_GB2312" w:cs="仿宋_GB2312"/>
                <w:bCs/>
                <w:sz w:val="28"/>
                <w:szCs w:val="28"/>
                <w:lang w:val="en-US" w:eastAsia="zh-CN"/>
              </w:rPr>
              <w:t>1.71万增加了148%，</w:t>
            </w:r>
            <w:r>
              <w:rPr>
                <w:rFonts w:hint="eastAsia" w:ascii="仿宋" w:hAnsi="仿宋" w:eastAsia="仿宋" w:cs="仿宋"/>
                <w:kern w:val="0"/>
                <w:sz w:val="28"/>
                <w:szCs w:val="28"/>
              </w:rPr>
              <w:t>因为</w:t>
            </w:r>
            <w:r>
              <w:rPr>
                <w:rFonts w:hint="eastAsia" w:ascii="仿宋" w:hAnsi="仿宋" w:eastAsia="仿宋" w:cs="仿宋"/>
                <w:kern w:val="0"/>
                <w:sz w:val="28"/>
                <w:szCs w:val="28"/>
                <w:lang w:val="en-US" w:eastAsia="zh-CN"/>
              </w:rPr>
              <w:t>县配置</w:t>
            </w:r>
            <w:r>
              <w:rPr>
                <w:rFonts w:hint="eastAsia" w:ascii="仿宋_GB2312" w:hAnsi="仿宋_GB2312" w:eastAsia="仿宋_GB2312" w:cs="仿宋_GB2312"/>
                <w:bCs/>
                <w:sz w:val="28"/>
                <w:szCs w:val="28"/>
                <w:lang w:val="en-US" w:eastAsia="zh-CN"/>
              </w:rPr>
              <w:t>乡村振兴工具车辆费用</w:t>
            </w:r>
            <w:r>
              <w:rPr>
                <w:rFonts w:hint="eastAsia" w:ascii="仿宋_GB2312" w:hAnsi="仿宋_GB2312" w:eastAsia="仿宋_GB2312" w:cs="仿宋_GB2312"/>
                <w:bCs/>
                <w:sz w:val="28"/>
                <w:szCs w:val="28"/>
              </w:rPr>
              <w:t>开支</w:t>
            </w:r>
            <w:r>
              <w:rPr>
                <w:rFonts w:hint="eastAsia" w:ascii="仿宋" w:hAnsi="仿宋" w:eastAsia="仿宋" w:cs="仿宋"/>
                <w:kern w:val="0"/>
                <w:sz w:val="28"/>
                <w:szCs w:val="28"/>
              </w:rPr>
              <w:t>。</w:t>
            </w:r>
            <w:r>
              <w:rPr>
                <w:rFonts w:hint="eastAsia" w:ascii="仿宋_GB2312" w:hAnsi="仿宋_GB2312" w:eastAsia="仿宋_GB2312" w:cs="仿宋_GB2312"/>
                <w:bCs/>
                <w:sz w:val="28"/>
                <w:szCs w:val="28"/>
              </w:rPr>
              <w:t>“三公”经费财政拨款支出决算总体情况说明。 202</w:t>
            </w:r>
            <w:r>
              <w:rPr>
                <w:rFonts w:hint="eastAsia" w:ascii="仿宋_GB2312" w:hAnsi="仿宋_GB2312" w:eastAsia="仿宋_GB2312" w:cs="仿宋_GB2312"/>
                <w:bCs/>
                <w:sz w:val="28"/>
                <w:szCs w:val="28"/>
                <w:lang w:val="en-US" w:eastAsia="zh-CN"/>
              </w:rPr>
              <w:t>2</w:t>
            </w:r>
            <w:r>
              <w:rPr>
                <w:rFonts w:hint="eastAsia" w:ascii="仿宋_GB2312" w:hAnsi="仿宋_GB2312" w:eastAsia="仿宋_GB2312" w:cs="仿宋_GB2312"/>
                <w:bCs/>
                <w:sz w:val="28"/>
                <w:szCs w:val="28"/>
              </w:rPr>
              <w:t>年三公经费支出总额为</w:t>
            </w:r>
            <w:r>
              <w:rPr>
                <w:rFonts w:hint="eastAsia" w:ascii="仿宋_GB2312" w:hAnsi="仿宋_GB2312" w:eastAsia="仿宋_GB2312" w:cs="仿宋_GB2312"/>
                <w:bCs/>
                <w:sz w:val="28"/>
                <w:szCs w:val="28"/>
                <w:lang w:val="en-US" w:eastAsia="zh-CN"/>
              </w:rPr>
              <w:t>4.25</w:t>
            </w:r>
            <w:r>
              <w:rPr>
                <w:rFonts w:hint="eastAsia" w:ascii="仿宋_GB2312" w:hAnsi="仿宋_GB2312" w:eastAsia="仿宋_GB2312" w:cs="仿宋_GB2312"/>
                <w:bCs/>
                <w:sz w:val="28"/>
                <w:szCs w:val="28"/>
              </w:rPr>
              <w:t>万元其中：因公出国（境）费用0万元、公务接待费用</w:t>
            </w:r>
            <w:r>
              <w:rPr>
                <w:rFonts w:hint="eastAsia" w:ascii="仿宋_GB2312" w:hAnsi="仿宋_GB2312" w:eastAsia="仿宋_GB2312" w:cs="仿宋_GB2312"/>
                <w:bCs/>
                <w:sz w:val="28"/>
                <w:szCs w:val="28"/>
                <w:lang w:val="en-US" w:eastAsia="zh-CN"/>
              </w:rPr>
              <w:t>1.25</w:t>
            </w:r>
            <w:r>
              <w:rPr>
                <w:rFonts w:hint="eastAsia" w:ascii="仿宋_GB2312" w:hAnsi="仿宋_GB2312" w:eastAsia="仿宋_GB2312" w:cs="仿宋_GB2312"/>
                <w:bCs/>
                <w:sz w:val="28"/>
                <w:szCs w:val="28"/>
              </w:rPr>
              <w:t>万元主要是公务接待用餐支出，公务用车费</w:t>
            </w:r>
            <w:r>
              <w:rPr>
                <w:rFonts w:hint="eastAsia" w:ascii="仿宋_GB2312" w:hAnsi="仿宋_GB2312" w:eastAsia="仿宋_GB2312" w:cs="仿宋_GB2312"/>
                <w:bCs/>
                <w:sz w:val="28"/>
                <w:szCs w:val="28"/>
                <w:lang w:val="en-US" w:eastAsia="zh-CN"/>
              </w:rPr>
              <w:t>3</w:t>
            </w:r>
            <w:r>
              <w:rPr>
                <w:rFonts w:hint="eastAsia" w:ascii="仿宋_GB2312" w:hAnsi="仿宋_GB2312" w:eastAsia="仿宋_GB2312" w:cs="仿宋_GB2312"/>
                <w:bCs/>
                <w:sz w:val="28"/>
                <w:szCs w:val="28"/>
              </w:rPr>
              <w:t>万元（其中公务用车运行维护费</w:t>
            </w:r>
            <w:r>
              <w:rPr>
                <w:rFonts w:hint="eastAsia" w:ascii="仿宋_GB2312" w:hAnsi="仿宋_GB2312" w:eastAsia="仿宋_GB2312" w:cs="仿宋_GB2312"/>
                <w:bCs/>
                <w:sz w:val="28"/>
                <w:szCs w:val="28"/>
                <w:lang w:val="en-US" w:eastAsia="zh-CN"/>
              </w:rPr>
              <w:t>3</w:t>
            </w:r>
            <w:r>
              <w:rPr>
                <w:rFonts w:hint="eastAsia" w:ascii="仿宋_GB2312" w:hAnsi="仿宋_GB2312" w:eastAsia="仿宋_GB2312" w:cs="仿宋_GB2312"/>
                <w:bCs/>
                <w:sz w:val="28"/>
                <w:szCs w:val="28"/>
              </w:rPr>
              <w:t>万元、公务用车购置0万元。）</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lang w:eastAsia="zh-CN"/>
              </w:rPr>
              <w:t>二</w:t>
            </w:r>
            <w:r>
              <w:rPr>
                <w:rFonts w:hint="eastAsia" w:ascii="黑体" w:hAnsi="黑体" w:eastAsia="黑体" w:cs="黑体"/>
                <w:bCs/>
                <w:sz w:val="32"/>
                <w:szCs w:val="32"/>
              </w:rPr>
              <w:t>、部门（单位）专项组织实施情况</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rPr>
              <w:t>（</w:t>
            </w:r>
            <w:r>
              <w:rPr>
                <w:rFonts w:hint="eastAsia" w:ascii="仿宋_GB2312" w:hAnsi="仿宋_GB2312" w:eastAsia="仿宋_GB2312" w:cs="仿宋_GB2312"/>
                <w:bCs/>
                <w:sz w:val="28"/>
                <w:szCs w:val="28"/>
                <w:lang w:val="en-US" w:eastAsia="zh-CN"/>
              </w:rPr>
              <w:t>一）专项组织情况分析</w:t>
            </w:r>
          </w:p>
          <w:p>
            <w:p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1、我单位申报的资金项目均从2022年初计划实施，并于2022年底前完成年度绩效目标。我镇年度专项支出共972.81万元，主要用于农村基础设施、道路、水利、环境等方面支出。我镇制定了机关财务管理制定，明确了专项支出审批程序，严格加强对专项资金的监管。</w:t>
            </w:r>
          </w:p>
          <w:p>
            <w:pPr>
              <w:spacing w:line="560" w:lineRule="exact"/>
              <w:ind w:firstLine="560" w:firstLineChars="200"/>
              <w:rPr>
                <w:rFonts w:hint="eastAsia" w:ascii="黑体" w:hAnsi="黑体" w:eastAsia="黑体" w:cs="黑体"/>
                <w:bCs/>
                <w:sz w:val="32"/>
                <w:szCs w:val="32"/>
                <w:lang w:eastAsia="zh-CN"/>
              </w:rPr>
            </w:pPr>
            <w:r>
              <w:rPr>
                <w:rFonts w:hint="eastAsia" w:ascii="仿宋_GB2312" w:hAnsi="仿宋_GB2312" w:eastAsia="仿宋_GB2312" w:cs="仿宋_GB2312"/>
                <w:bCs/>
                <w:sz w:val="28"/>
                <w:szCs w:val="28"/>
                <w:lang w:val="en-US" w:eastAsia="zh-CN"/>
              </w:rPr>
              <w:t>2、严格对专项资金报账的审核制度。专项资金必须与申报项目相符，村级代理记账必须附四议两公开、会议记录、事前事中事后相关照片记录，超过规定金额必须走政府采购或招投标手续方可进行报账。</w:t>
            </w:r>
          </w:p>
          <w:p>
            <w:pPr>
              <w:spacing w:line="560" w:lineRule="exact"/>
              <w:ind w:firstLine="640" w:firstLineChars="200"/>
              <w:rPr>
                <w:rFonts w:hint="eastAsia" w:ascii="黑体" w:hAnsi="黑体" w:eastAsia="黑体" w:cs="黑体"/>
                <w:bCs/>
                <w:sz w:val="32"/>
                <w:szCs w:val="32"/>
              </w:rPr>
            </w:pPr>
            <w:r>
              <w:rPr>
                <w:rFonts w:hint="eastAsia" w:ascii="黑体" w:hAnsi="黑体" w:eastAsia="黑体" w:cs="黑体"/>
                <w:bCs/>
                <w:sz w:val="32"/>
                <w:szCs w:val="32"/>
                <w:lang w:eastAsia="zh-CN"/>
              </w:rPr>
              <w:t>三</w:t>
            </w:r>
            <w:r>
              <w:rPr>
                <w:rFonts w:hint="eastAsia" w:ascii="黑体" w:hAnsi="黑体" w:eastAsia="黑体" w:cs="黑体"/>
                <w:bCs/>
                <w:sz w:val="32"/>
                <w:szCs w:val="32"/>
              </w:rPr>
              <w:t>、部门（单位）整体支出绩效情况</w:t>
            </w:r>
          </w:p>
          <w:p>
            <w:pPr>
              <w:spacing w:line="560" w:lineRule="exact"/>
              <w:ind w:firstLine="560" w:firstLineChars="200"/>
              <w:rPr>
                <w:rFonts w:hint="eastAsia" w:ascii="黑体" w:hAnsi="黑体" w:eastAsia="黑体" w:cs="黑体"/>
                <w:bCs/>
                <w:sz w:val="32"/>
                <w:szCs w:val="32"/>
                <w:lang w:eastAsia="zh-CN"/>
              </w:rPr>
            </w:pPr>
            <w:r>
              <w:rPr>
                <w:rFonts w:hint="eastAsia" w:ascii="仿宋_GB2312" w:hAnsi="仿宋_GB2312" w:eastAsia="仿宋_GB2312" w:cs="仿宋_GB2312"/>
                <w:bCs/>
                <w:sz w:val="28"/>
                <w:szCs w:val="28"/>
                <w:lang w:val="en-US" w:eastAsia="zh-CN"/>
              </w:rPr>
              <w:t>按照财政预算绩效管理工作的总体要求，2022年我单位整体支出6295.53</w:t>
            </w:r>
            <w:bookmarkStart w:id="0" w:name="_GoBack"/>
            <w:bookmarkEnd w:id="0"/>
            <w:r>
              <w:rPr>
                <w:rFonts w:hint="eastAsia" w:ascii="仿宋_GB2312" w:hAnsi="仿宋_GB2312" w:eastAsia="仿宋_GB2312" w:cs="仿宋_GB2312"/>
                <w:bCs/>
                <w:sz w:val="28"/>
                <w:szCs w:val="28"/>
                <w:lang w:val="en-US" w:eastAsia="zh-CN"/>
              </w:rPr>
              <w:t>万元全部实行整体支出绩效目标管理，整体支出绩效目标基本完成。</w:t>
            </w:r>
          </w:p>
          <w:p>
            <w:pPr>
              <w:numPr>
                <w:ilvl w:val="0"/>
                <w:numId w:val="0"/>
              </w:numPr>
              <w:spacing w:line="560" w:lineRule="exact"/>
              <w:ind w:left="210" w:leftChars="0" w:firstLine="320" w:firstLineChars="100"/>
              <w:rPr>
                <w:rFonts w:hint="eastAsia" w:ascii="黑体" w:hAnsi="黑体" w:eastAsia="黑体" w:cs="黑体"/>
                <w:bCs/>
                <w:sz w:val="32"/>
                <w:szCs w:val="32"/>
              </w:rPr>
            </w:pPr>
            <w:r>
              <w:rPr>
                <w:rFonts w:hint="eastAsia" w:ascii="黑体" w:hAnsi="黑体" w:eastAsia="黑体" w:cs="黑体"/>
                <w:bCs/>
                <w:sz w:val="32"/>
                <w:szCs w:val="32"/>
                <w:lang w:eastAsia="zh-CN"/>
              </w:rPr>
              <w:t>四、</w:t>
            </w:r>
            <w:r>
              <w:rPr>
                <w:rFonts w:hint="eastAsia" w:ascii="黑体" w:hAnsi="黑体" w:eastAsia="黑体" w:cs="黑体"/>
                <w:bCs/>
                <w:sz w:val="32"/>
                <w:szCs w:val="32"/>
              </w:rPr>
              <w:t>存在的主要问题</w:t>
            </w:r>
          </w:p>
          <w:p>
            <w:pPr>
              <w:numPr>
                <w:ilvl w:val="0"/>
                <w:numId w:val="0"/>
              </w:numPr>
              <w:spacing w:line="560" w:lineRule="exact"/>
              <w:rPr>
                <w:rFonts w:hint="default" w:ascii="仿宋_GB2312" w:hAnsi="仿宋_GB2312" w:eastAsia="仿宋_GB2312" w:cs="仿宋_GB2312"/>
                <w:bCs/>
                <w:sz w:val="28"/>
                <w:szCs w:val="28"/>
                <w:lang w:val="en-US" w:eastAsia="zh-CN"/>
              </w:rPr>
            </w:pPr>
            <w:r>
              <w:rPr>
                <w:rFonts w:hint="eastAsia" w:ascii="黑体" w:hAnsi="黑体" w:eastAsia="黑体" w:cs="黑体"/>
                <w:bCs/>
                <w:sz w:val="28"/>
                <w:szCs w:val="28"/>
                <w:lang w:val="en-US" w:eastAsia="zh-CN"/>
              </w:rPr>
              <w:t xml:space="preserve">     </w:t>
            </w:r>
            <w:r>
              <w:rPr>
                <w:rFonts w:hint="eastAsia" w:ascii="仿宋_GB2312" w:hAnsi="仿宋_GB2312" w:eastAsia="仿宋_GB2312" w:cs="仿宋_GB2312"/>
                <w:bCs/>
                <w:sz w:val="28"/>
                <w:szCs w:val="28"/>
                <w:lang w:val="en-US" w:eastAsia="zh-CN"/>
              </w:rPr>
              <w:t>绩效开展持久，但实际效果一般，有的目标细化、量化难度大，成果较难评估。</w:t>
            </w:r>
          </w:p>
          <w:p>
            <w:pPr>
              <w:numPr>
                <w:ilvl w:val="0"/>
                <w:numId w:val="0"/>
              </w:numPr>
              <w:spacing w:line="560" w:lineRule="exact"/>
              <w:ind w:left="210" w:leftChars="0"/>
              <w:rPr>
                <w:rFonts w:hint="eastAsia" w:ascii="黑体" w:hAnsi="黑体" w:eastAsia="黑体" w:cs="黑体"/>
                <w:bCs/>
                <w:sz w:val="32"/>
                <w:szCs w:val="32"/>
              </w:rPr>
            </w:pPr>
            <w:r>
              <w:rPr>
                <w:rFonts w:hint="eastAsia" w:ascii="黑体" w:hAnsi="黑体" w:eastAsia="黑体" w:cs="黑体"/>
                <w:bCs/>
                <w:sz w:val="32"/>
                <w:szCs w:val="32"/>
                <w:lang w:val="en-US" w:eastAsia="zh-CN"/>
              </w:rPr>
              <w:t xml:space="preserve">    五、</w:t>
            </w:r>
            <w:r>
              <w:rPr>
                <w:rFonts w:hint="eastAsia" w:ascii="黑体" w:hAnsi="黑体" w:eastAsia="黑体" w:cs="黑体"/>
                <w:bCs/>
                <w:sz w:val="32"/>
                <w:szCs w:val="32"/>
              </w:rPr>
              <w:t>改进措施和有关建议</w:t>
            </w:r>
          </w:p>
          <w:p>
            <w:pPr>
              <w:numPr>
                <w:ilvl w:val="0"/>
                <w:numId w:val="0"/>
              </w:numPr>
              <w:spacing w:line="560" w:lineRule="exact"/>
              <w:ind w:leftChars="200"/>
              <w:rPr>
                <w:rFonts w:hint="eastAsia" w:ascii="仿宋_GB2312" w:hAnsi="仿宋_GB2312" w:eastAsia="仿宋_GB2312" w:cs="仿宋_GB2312"/>
                <w:bCs/>
                <w:sz w:val="28"/>
                <w:szCs w:val="28"/>
                <w:lang w:val="en-US" w:eastAsia="zh-CN"/>
              </w:rPr>
            </w:pPr>
            <w:r>
              <w:rPr>
                <w:rFonts w:hint="eastAsia" w:ascii="黑体" w:hAnsi="黑体" w:eastAsia="黑体" w:cs="黑体"/>
                <w:bCs/>
                <w:sz w:val="28"/>
                <w:szCs w:val="28"/>
                <w:lang w:val="en-US" w:eastAsia="zh-CN"/>
              </w:rPr>
              <w:t xml:space="preserve"> 1</w:t>
            </w:r>
            <w:r>
              <w:rPr>
                <w:rFonts w:hint="eastAsia" w:ascii="仿宋_GB2312" w:hAnsi="仿宋_GB2312" w:eastAsia="仿宋_GB2312" w:cs="仿宋_GB2312"/>
                <w:bCs/>
                <w:sz w:val="28"/>
                <w:szCs w:val="28"/>
                <w:lang w:val="en-US" w:eastAsia="zh-CN"/>
              </w:rPr>
              <w:t xml:space="preserve">、进一步化解绩效目标，把绩效目标融入到政府日常工作中。 </w:t>
            </w:r>
          </w:p>
          <w:p>
            <w:pPr>
              <w:numPr>
                <w:ilvl w:val="0"/>
                <w:numId w:val="0"/>
              </w:numPr>
              <w:spacing w:line="560" w:lineRule="exact"/>
              <w:ind w:firstLine="560" w:firstLineChars="200"/>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2、进一步严格预算编制、执行及管理，对新增财政支出、一般性支出等严格控制。</w:t>
            </w:r>
          </w:p>
          <w:p>
            <w:pPr>
              <w:numPr>
                <w:ilvl w:val="0"/>
                <w:numId w:val="0"/>
              </w:numPr>
              <w:spacing w:line="560" w:lineRule="exact"/>
              <w:ind w:firstLine="560" w:firstLineChars="200"/>
              <w:rPr>
                <w:rFonts w:eastAsia="楷体_GB2312"/>
                <w:bCs/>
                <w:sz w:val="28"/>
                <w:szCs w:val="28"/>
              </w:rPr>
            </w:pPr>
            <w:r>
              <w:rPr>
                <w:rFonts w:hint="eastAsia" w:ascii="仿宋_GB2312" w:hAnsi="仿宋_GB2312" w:eastAsia="仿宋_GB2312" w:cs="仿宋_GB2312"/>
                <w:bCs/>
                <w:sz w:val="28"/>
                <w:szCs w:val="28"/>
                <w:lang w:val="en-US" w:eastAsia="zh-CN"/>
              </w:rPr>
              <w:t>3、绩效的执行情况及政策效果项目支出的管理、使用、效益情况进行严格的跟踪。</w:t>
            </w:r>
          </w:p>
        </w:tc>
      </w:tr>
    </w:tbl>
    <w:p>
      <w:pPr>
        <w:spacing w:line="348" w:lineRule="auto"/>
        <w:rPr>
          <w:rFonts w:ascii="黑体" w:hAnsi="黑体" w:eastAsia="黑体"/>
          <w:sz w:val="32"/>
          <w:szCs w:val="32"/>
        </w:rPr>
      </w:pPr>
    </w:p>
    <w:p>
      <w:pPr>
        <w:spacing w:line="348" w:lineRule="auto"/>
        <w:rPr>
          <w:rFonts w:ascii="黑体" w:hAnsi="黑体" w:eastAsia="黑体"/>
          <w:sz w:val="32"/>
          <w:szCs w:val="32"/>
        </w:rPr>
      </w:pPr>
      <w:r>
        <w:rPr>
          <w:rFonts w:hint="eastAsia" w:ascii="黑体" w:hAnsi="黑体" w:eastAsia="黑体"/>
          <w:sz w:val="32"/>
          <w:szCs w:val="32"/>
        </w:rPr>
        <w:t>附件3-1</w:t>
      </w:r>
    </w:p>
    <w:p>
      <w:pPr>
        <w:spacing w:before="312" w:beforeLines="100" w:after="312" w:afterLines="100"/>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w:t>
      </w:r>
    </w:p>
    <w:tbl>
      <w:tblPr>
        <w:tblStyle w:val="7"/>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ascii="仿宋_GB2312" w:hAnsi="宋体" w:eastAsia="仿宋_GB2312" w:cs="宋体"/>
                <w:spacing w:val="-6"/>
                <w:kern w:val="0"/>
                <w:sz w:val="18"/>
                <w:szCs w:val="18"/>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0</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7"/>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②资产配置合理；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themeColor="text1"/>
                <w:kern w:val="0"/>
                <w:sz w:val="18"/>
                <w:szCs w:val="18"/>
                <w14:textFill>
                  <w14:solidFill>
                    <w14:schemeClr w14:val="tx1"/>
                  </w14:solidFill>
                </w14:textFill>
              </w:rPr>
            </w:pPr>
            <w:r>
              <w:rPr>
                <w:rFonts w:hint="eastAsia" w:ascii="仿宋_GB2312" w:hAnsi="宋体" w:eastAsia="仿宋_GB2312" w:cs="宋体"/>
                <w:color w:val="000000" w:themeColor="text1"/>
                <w:kern w:val="0"/>
                <w:sz w:val="18"/>
                <w:szCs w:val="18"/>
                <w14:textFill>
                  <w14:solidFill>
                    <w14:schemeClr w14:val="tx1"/>
                  </w14:solidFill>
                </w14:textFill>
              </w:rPr>
              <w:t>根据岳县办发（2021年）1号《全面建成小康社会综合绩效考评实施方案》的通知折算</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建设岳阳县新增及目标任务完成情况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省市县重点民生实事完成情况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省市县重点工程和重大项目建设完成情况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96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156" w:beforeLines="50"/>
        <w:rPr>
          <w:rFonts w:ascii="黑体" w:hAnsi="黑体" w:eastAsia="黑体"/>
          <w:sz w:val="32"/>
          <w:szCs w:val="32"/>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gxNmY3YTY2ZTBjZWRkNzIzODJlMzA1ZWQwYWFiZGEifQ=="/>
  </w:docVars>
  <w:rsids>
    <w:rsidRoot w:val="006768B3"/>
    <w:rsid w:val="00043D9B"/>
    <w:rsid w:val="00114918"/>
    <w:rsid w:val="00185E27"/>
    <w:rsid w:val="00196138"/>
    <w:rsid w:val="001A0F53"/>
    <w:rsid w:val="002123F6"/>
    <w:rsid w:val="002315EA"/>
    <w:rsid w:val="002D17BD"/>
    <w:rsid w:val="002E5321"/>
    <w:rsid w:val="0032000C"/>
    <w:rsid w:val="003315A0"/>
    <w:rsid w:val="0036658D"/>
    <w:rsid w:val="003B0D21"/>
    <w:rsid w:val="00471E6B"/>
    <w:rsid w:val="00474F6D"/>
    <w:rsid w:val="00476B46"/>
    <w:rsid w:val="004E7DD2"/>
    <w:rsid w:val="005961C5"/>
    <w:rsid w:val="005D7DB8"/>
    <w:rsid w:val="005E2485"/>
    <w:rsid w:val="00667902"/>
    <w:rsid w:val="006768B3"/>
    <w:rsid w:val="006A0BD8"/>
    <w:rsid w:val="006B3E2C"/>
    <w:rsid w:val="00703FBD"/>
    <w:rsid w:val="007E7006"/>
    <w:rsid w:val="00873196"/>
    <w:rsid w:val="008B68BD"/>
    <w:rsid w:val="008E3C77"/>
    <w:rsid w:val="008F0C3A"/>
    <w:rsid w:val="009668AD"/>
    <w:rsid w:val="009A1890"/>
    <w:rsid w:val="009D7088"/>
    <w:rsid w:val="00A03B10"/>
    <w:rsid w:val="00A36179"/>
    <w:rsid w:val="00A96400"/>
    <w:rsid w:val="00AA4BF8"/>
    <w:rsid w:val="00AD45A0"/>
    <w:rsid w:val="00AE5891"/>
    <w:rsid w:val="00B15E1A"/>
    <w:rsid w:val="00B33F31"/>
    <w:rsid w:val="00B35AE3"/>
    <w:rsid w:val="00B43626"/>
    <w:rsid w:val="00B758B0"/>
    <w:rsid w:val="00B775B5"/>
    <w:rsid w:val="00BA0749"/>
    <w:rsid w:val="00C07B63"/>
    <w:rsid w:val="00C178E6"/>
    <w:rsid w:val="00C3207E"/>
    <w:rsid w:val="00CD2AFF"/>
    <w:rsid w:val="00CF1A2A"/>
    <w:rsid w:val="00DE0376"/>
    <w:rsid w:val="00E278EF"/>
    <w:rsid w:val="00ED7993"/>
    <w:rsid w:val="00FA236F"/>
    <w:rsid w:val="05412745"/>
    <w:rsid w:val="064D2E31"/>
    <w:rsid w:val="06514C09"/>
    <w:rsid w:val="06FE6E3C"/>
    <w:rsid w:val="076A70D6"/>
    <w:rsid w:val="07B13BB2"/>
    <w:rsid w:val="082414F8"/>
    <w:rsid w:val="09D966B6"/>
    <w:rsid w:val="0AA67D8B"/>
    <w:rsid w:val="0C9475FE"/>
    <w:rsid w:val="0C9B4BA7"/>
    <w:rsid w:val="0D5247CD"/>
    <w:rsid w:val="0D5C0BD5"/>
    <w:rsid w:val="0D8B044F"/>
    <w:rsid w:val="0DAA4B40"/>
    <w:rsid w:val="0F11610D"/>
    <w:rsid w:val="0FD071D0"/>
    <w:rsid w:val="11427629"/>
    <w:rsid w:val="1159360A"/>
    <w:rsid w:val="11943BFC"/>
    <w:rsid w:val="179764FD"/>
    <w:rsid w:val="18AF2261"/>
    <w:rsid w:val="1A8E2F47"/>
    <w:rsid w:val="1B607A43"/>
    <w:rsid w:val="1CB746BB"/>
    <w:rsid w:val="1CEB326A"/>
    <w:rsid w:val="1EB130DF"/>
    <w:rsid w:val="1EE1290E"/>
    <w:rsid w:val="213B2400"/>
    <w:rsid w:val="244A2F6C"/>
    <w:rsid w:val="2558118B"/>
    <w:rsid w:val="27911E13"/>
    <w:rsid w:val="27C04855"/>
    <w:rsid w:val="27FC455E"/>
    <w:rsid w:val="2A3A084A"/>
    <w:rsid w:val="2B964464"/>
    <w:rsid w:val="302F5FA9"/>
    <w:rsid w:val="32F32DF1"/>
    <w:rsid w:val="34BC5B05"/>
    <w:rsid w:val="371F5B92"/>
    <w:rsid w:val="372907BF"/>
    <w:rsid w:val="38877E93"/>
    <w:rsid w:val="3B0A2733"/>
    <w:rsid w:val="3B0E2048"/>
    <w:rsid w:val="413A36FE"/>
    <w:rsid w:val="42C15813"/>
    <w:rsid w:val="438F2288"/>
    <w:rsid w:val="43E42222"/>
    <w:rsid w:val="44C91833"/>
    <w:rsid w:val="45E82F71"/>
    <w:rsid w:val="47180449"/>
    <w:rsid w:val="48853EDA"/>
    <w:rsid w:val="489441AA"/>
    <w:rsid w:val="4A376E5C"/>
    <w:rsid w:val="4B9D62A9"/>
    <w:rsid w:val="4C560446"/>
    <w:rsid w:val="4DD2188B"/>
    <w:rsid w:val="4F6D12AB"/>
    <w:rsid w:val="517B487E"/>
    <w:rsid w:val="535F0839"/>
    <w:rsid w:val="538F59F6"/>
    <w:rsid w:val="578635A1"/>
    <w:rsid w:val="5866141B"/>
    <w:rsid w:val="5A032C9A"/>
    <w:rsid w:val="5A16140C"/>
    <w:rsid w:val="5B1E7D8B"/>
    <w:rsid w:val="5B4A4FBE"/>
    <w:rsid w:val="5B751975"/>
    <w:rsid w:val="5DB84A1D"/>
    <w:rsid w:val="5FD654F5"/>
    <w:rsid w:val="607F3616"/>
    <w:rsid w:val="60924BD2"/>
    <w:rsid w:val="63D01E3F"/>
    <w:rsid w:val="642947D3"/>
    <w:rsid w:val="647F57E2"/>
    <w:rsid w:val="665054B9"/>
    <w:rsid w:val="665057BA"/>
    <w:rsid w:val="66E6052D"/>
    <w:rsid w:val="6782344D"/>
    <w:rsid w:val="69DF4B8A"/>
    <w:rsid w:val="6F03131A"/>
    <w:rsid w:val="70AD73A3"/>
    <w:rsid w:val="70EA3A34"/>
    <w:rsid w:val="71AB280E"/>
    <w:rsid w:val="71F94873"/>
    <w:rsid w:val="738520BE"/>
    <w:rsid w:val="73C54341"/>
    <w:rsid w:val="76175E10"/>
    <w:rsid w:val="76C577FD"/>
    <w:rsid w:val="77364257"/>
    <w:rsid w:val="790D3931"/>
    <w:rsid w:val="7A016D9E"/>
    <w:rsid w:val="7A305692"/>
    <w:rsid w:val="7A9A31D8"/>
    <w:rsid w:val="7C7B2E38"/>
    <w:rsid w:val="7D3438C4"/>
    <w:rsid w:val="7D592AD3"/>
    <w:rsid w:val="7D943A85"/>
    <w:rsid w:val="7E663674"/>
    <w:rsid w:val="7E9E2A10"/>
    <w:rsid w:val="7FE65C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正文文本首行缩进 21"/>
    <w:basedOn w:val="3"/>
    <w:next w:val="1"/>
    <w:qFormat/>
    <w:uiPriority w:val="0"/>
    <w:pPr>
      <w:keepNext w:val="0"/>
      <w:keepLines w:val="0"/>
      <w:widowControl w:val="0"/>
      <w:suppressLineNumbers w:val="0"/>
      <w:spacing w:after="120" w:afterAutospacing="0"/>
      <w:ind w:left="420" w:leftChars="200" w:firstLine="420" w:firstLineChars="200"/>
      <w:jc w:val="both"/>
    </w:pPr>
    <w:rPr>
      <w:rFonts w:hint="default" w:ascii="Calibri" w:hAnsi="Calibri" w:eastAsia="宋体" w:cs="Times New Roman"/>
      <w:kern w:val="2"/>
      <w:sz w:val="21"/>
      <w:szCs w:val="21"/>
      <w:lang w:val="en-US" w:eastAsia="zh-CN" w:bidi="ar"/>
    </w:rPr>
  </w:style>
  <w:style w:type="paragraph" w:customStyle="1" w:styleId="3">
    <w:name w:val="正文文本缩进1"/>
    <w:basedOn w:val="1"/>
    <w:next w:val="2"/>
    <w:qFormat/>
    <w:uiPriority w:val="0"/>
    <w:pPr>
      <w:spacing w:after="120"/>
      <w:ind w:left="420" w:leftChars="200"/>
    </w:p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kern w:val="0"/>
      <w:sz w:val="24"/>
    </w:rPr>
  </w:style>
  <w:style w:type="paragraph" w:styleId="9">
    <w:name w:val="List Paragraph"/>
    <w:basedOn w:val="1"/>
    <w:qFormat/>
    <w:uiPriority w:val="34"/>
    <w:pPr>
      <w:ind w:firstLine="420" w:firstLineChars="200"/>
    </w:pPr>
  </w:style>
  <w:style w:type="character" w:customStyle="1" w:styleId="10">
    <w:name w:val="页眉 字符"/>
    <w:basedOn w:val="8"/>
    <w:link w:val="5"/>
    <w:qFormat/>
    <w:uiPriority w:val="99"/>
    <w:rPr>
      <w:rFonts w:ascii="Times New Roman" w:hAnsi="Times New Roman" w:eastAsia="宋体" w:cs="Times New Roman"/>
      <w:sz w:val="18"/>
      <w:szCs w:val="18"/>
    </w:rPr>
  </w:style>
  <w:style w:type="character" w:customStyle="1" w:styleId="11">
    <w:name w:val="页脚 字符"/>
    <w:basedOn w:val="8"/>
    <w:link w:val="4"/>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6067</Words>
  <Characters>6460</Characters>
  <Lines>54</Lines>
  <Paragraphs>15</Paragraphs>
  <TotalTime>2</TotalTime>
  <ScaleCrop>false</ScaleCrop>
  <LinksUpToDate>false</LinksUpToDate>
  <CharactersWithSpaces>6824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2022-08-27T06:32:00Z</dcterms:created>
  <dc:creator>728981623@qq.com</dc:creator>
  <cp:lastModifiedBy>小兵</cp:lastModifiedBy>
  <cp:lastPrinted>2022-08-27T09:28:00Z</cp:lastPrinted>
  <dcterms:modified xsi:type="dcterms:W3CDTF">2023-10-10T08:35:18Z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EB091A2EA19C422F99980F5D2D6D3F3C</vt:lpwstr>
  </property>
</Properties>
</file>