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城市公共交通执法大队202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2024年单位预算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 xml:space="preserve"> 1、服务县域、负责县域公共汽车、出租汽车的的行政管理，行政执法及行业管理，经营权的出让等。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、完成上级主管部门交办的其他工作任务。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城市公共交通执法大队无内设机构，现有全额拨款事业编制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名。其中所长1名，副所长2名。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243.18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243.18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本单位2024年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收入较去年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5.48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万元，主要是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因为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人员退休及调出，减少了基本支出经费预算。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2024年本单位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243.18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val="en-US" w:eastAsia="zh-CN"/>
        </w:rPr>
        <w:t>社会保障和就业支出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15.06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卫生和健康支出8.42万元，交通运输支出209.06万元，住房保障支出10.63万元。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5.48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11.8</w:t>
      </w:r>
      <w:r>
        <w:rPr>
          <w:rFonts w:hint="eastAsia" w:eastAsia="仿宋_GB2312"/>
          <w:color w:val="auto"/>
          <w:sz w:val="32"/>
          <w:szCs w:val="32"/>
          <w:u w:val="none"/>
        </w:rPr>
        <w:t>万元，项目支出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6.32</w:t>
      </w:r>
      <w:r>
        <w:rPr>
          <w:rFonts w:hint="eastAsia" w:eastAsia="仿宋_GB2312"/>
          <w:color w:val="auto"/>
          <w:sz w:val="32"/>
          <w:szCs w:val="32"/>
          <w:u w:val="none"/>
        </w:rPr>
        <w:t>万元。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其中基本支出较上年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主要是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因为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人员退休及调出，减少了基本支出经费预算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主要是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因为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本年度业务范围扩大。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243.18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社会保障和就业支出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15.06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6.20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卫生和健康支出8.42万元，占3.46%；交通运输支出209.06万元，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85.97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住房保障支出10.63万元，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4.37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162.33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80.85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34.85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城市公共交通执法</w:t>
      </w:r>
      <w:r>
        <w:rPr>
          <w:rFonts w:hint="eastAsia" w:eastAsia="仿宋_GB2312"/>
          <w:sz w:val="32"/>
          <w:szCs w:val="32"/>
        </w:rPr>
        <w:t>等方面；运行维护经费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46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市场客运整治</w:t>
      </w:r>
      <w:r>
        <w:rPr>
          <w:rFonts w:hint="eastAsia" w:eastAsia="仿宋_GB2312"/>
          <w:sz w:val="32"/>
          <w:szCs w:val="32"/>
        </w:rPr>
        <w:t>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本单位2024年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机关运行经费当年一般公共预算拨款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18.78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万元，比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0.06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0.32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%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。主要原因是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本年度业务范围扩大。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本单位2024年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“三公”经费预算数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万元，因公出国（境）费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其中公务用车购置费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与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持平。本单位严格执行中央八项规定和省委九条规定，执行公务公函制度，接受纪律监督。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本单位2024年培训费预算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0.74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万元，拟开展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54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城市公交执法业务知识培训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2024年度本单位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安排会议，未计划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举办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节庆、晚会、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论坛、赛事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活动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政府采购情况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243.18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162.33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80.85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岳阳县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城市公共交通执法大队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79D450-E64A-49AF-AF0B-48BC377AAC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3FE4C5CF-940B-4A2B-8038-FF0776FDA33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1B9915E9-4DE0-4875-A69C-F41DA18BAA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6304D59-508C-4B80-AAA6-A88526D3CB6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F5B34E9-DB24-4B37-93E0-D1A475855C4F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09495"/>
    <w:multiLevelType w:val="singleLevel"/>
    <w:tmpl w:val="0620949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7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4903A2F"/>
    <w:rsid w:val="15D9563A"/>
    <w:rsid w:val="19420C90"/>
    <w:rsid w:val="19D5374E"/>
    <w:rsid w:val="1AC31CB7"/>
    <w:rsid w:val="1BEF6124"/>
    <w:rsid w:val="1EAD2225"/>
    <w:rsid w:val="1F1F1226"/>
    <w:rsid w:val="22F3070E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2873CEC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2687</Words>
  <Characters>2902</Characters>
  <Lines>38</Lines>
  <Paragraphs>10</Paragraphs>
  <TotalTime>1</TotalTime>
  <ScaleCrop>false</ScaleCrop>
  <LinksUpToDate>false</LinksUpToDate>
  <CharactersWithSpaces>2925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2024-03-13T00:37:20Z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ADAE5B3E2A4B4D0A8D7D06E48D89584D</vt:lpwstr>
  </property>
</Properties>
</file>