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岳阳县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>农村公路养护中心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400"/>
        <w:jc w:val="both"/>
        <w:textAlignment w:val="auto"/>
        <w:rPr>
          <w:rFonts w:hint="eastAsia"/>
          <w:b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2024年</w:t>
      </w:r>
      <w:r>
        <w:rPr>
          <w:rFonts w:hint="eastAsia" w:ascii="微软雅黑" w:hAnsi="微软雅黑" w:eastAsia="微软雅黑" w:cs="微软雅黑"/>
          <w:kern w:val="0"/>
          <w:sz w:val="48"/>
          <w:szCs w:val="48"/>
        </w:rPr>
        <w:t>度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3520" w:firstLineChars="800"/>
        <w:jc w:val="both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2024年单位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2024年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1、宣传贯彻执行国家有关农村公路管关的法律法规，具体负责全县农村公路养护工作的管理。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2、制订年度养护计划并按计划执行。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3、加强农村公路养护巡检，制订养护目标责任，建立健全养护管理规章制度，完善管关体系。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4、加强养护资金管理，实行专款专用，安全合理使用养护资金，确保农村公路养护工作正常有序开展。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5、强化公路保护意识，加强路况巡查和安全管理，及时抢修损坏严重的管养路段，保障公路畅通。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6、完成县局交办的其他工作任务。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岳阳县农村公路养护中心设下列内设机构：办公室、财务股、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安防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股、养护股、工会。本单位没有所属二级机构，因此本年度部门预算仅为本级单位预算。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包括一般公共预算、政府性基金、国有资本经营预算等财政拨款收入，以及经营收入、事业收入等单位资金。2024年本单位收入预算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330.71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330.71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</w:t>
      </w:r>
      <w:r>
        <w:rPr>
          <w:rFonts w:hint="eastAsia" w:eastAsia="仿宋_GB2312" w:cs="仿宋_GB2312"/>
          <w:kern w:val="0"/>
          <w:sz w:val="32"/>
          <w:szCs w:val="32"/>
          <w:u w:val="none"/>
          <w:lang w:eastAsia="zh-CN"/>
        </w:rPr>
        <w:t>元。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本单位2024年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均为空。</w:t>
      </w:r>
      <w:r>
        <w:rPr>
          <w:rFonts w:hint="eastAsia" w:eastAsia="仿宋_GB2312" w:cs="仿宋_GB2312"/>
          <w:kern w:val="0"/>
          <w:sz w:val="32"/>
          <w:szCs w:val="32"/>
          <w:u w:val="none"/>
          <w:lang w:eastAsia="zh-CN"/>
        </w:rPr>
        <w:t>收入较上年</w:t>
      </w:r>
      <w:r>
        <w:rPr>
          <w:rFonts w:hint="eastAsia" w:eastAsia="仿宋_GB2312" w:cs="仿宋_GB2312"/>
          <w:kern w:val="0"/>
          <w:sz w:val="32"/>
          <w:szCs w:val="32"/>
          <w:u w:val="none"/>
          <w:lang w:val="en-US" w:eastAsia="zh-CN"/>
        </w:rPr>
        <w:t>减少1403.71</w:t>
      </w:r>
      <w:r>
        <w:rPr>
          <w:rFonts w:hint="eastAsia" w:eastAsia="仿宋_GB2312" w:cs="仿宋_GB2312"/>
          <w:kern w:val="0"/>
          <w:sz w:val="32"/>
          <w:szCs w:val="32"/>
          <w:u w:val="none"/>
          <w:lang w:eastAsia="zh-CN"/>
        </w:rPr>
        <w:t>万元，主要是因为</w:t>
      </w:r>
      <w:r>
        <w:rPr>
          <w:rFonts w:hint="eastAsia" w:eastAsia="仿宋_GB2312" w:cs="仿宋_GB2312"/>
          <w:kern w:val="0"/>
          <w:sz w:val="32"/>
          <w:szCs w:val="32"/>
          <w:u w:val="none"/>
          <w:lang w:val="en-US" w:eastAsia="zh-CN"/>
        </w:rPr>
        <w:t>本年度收入预算数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没有加入年初项目结转资金1387.80万元及本年人员工资基数的调整。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2024年本单位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/>
          <w:sz w:val="32"/>
          <w:szCs w:val="32"/>
          <w:lang w:val="en-US" w:eastAsia="zh-CN"/>
        </w:rPr>
        <w:t>330.71</w:t>
      </w:r>
      <w:r>
        <w:rPr>
          <w:rFonts w:eastAsia="仿宋_GB2312"/>
          <w:sz w:val="32"/>
          <w:szCs w:val="32"/>
        </w:rPr>
        <w:t>万元，其中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一般公共服务支出167.76万元，</w:t>
      </w:r>
      <w:r>
        <w:rPr>
          <w:rFonts w:hint="eastAsia" w:eastAsia="仿宋_GB2312"/>
          <w:sz w:val="32"/>
          <w:szCs w:val="32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23.35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13.05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农林水支出83.78万元，</w:t>
      </w:r>
      <w:r>
        <w:rPr>
          <w:rFonts w:hint="eastAsia" w:eastAsia="仿宋_GB2312"/>
          <w:sz w:val="32"/>
          <w:szCs w:val="32"/>
        </w:rPr>
        <w:t>交通运输支出</w:t>
      </w:r>
      <w:r>
        <w:rPr>
          <w:rFonts w:hint="eastAsia" w:eastAsia="仿宋_GB2312"/>
          <w:sz w:val="32"/>
          <w:szCs w:val="32"/>
          <w:lang w:val="en-US" w:eastAsia="zh-CN"/>
        </w:rPr>
        <w:t>26.28</w:t>
      </w:r>
      <w:r>
        <w:rPr>
          <w:rFonts w:hint="eastAsia" w:eastAsia="仿宋_GB2312"/>
          <w:sz w:val="32"/>
          <w:szCs w:val="32"/>
          <w:lang w:eastAsia="zh-CN"/>
        </w:rPr>
        <w:t>万元；</w:t>
      </w:r>
      <w:r>
        <w:rPr>
          <w:rFonts w:hint="eastAsia" w:eastAsia="仿宋_GB2312"/>
          <w:sz w:val="32"/>
          <w:szCs w:val="32"/>
        </w:rPr>
        <w:t>住房保障支出</w:t>
      </w:r>
      <w:r>
        <w:rPr>
          <w:rFonts w:hint="eastAsia" w:eastAsia="仿宋_GB2312"/>
          <w:sz w:val="32"/>
          <w:szCs w:val="32"/>
          <w:lang w:val="en-US" w:eastAsia="zh-CN"/>
        </w:rPr>
        <w:t>16.49</w:t>
      </w:r>
      <w:r>
        <w:rPr>
          <w:rFonts w:hint="eastAsia" w:eastAsia="仿宋_GB2312"/>
          <w:sz w:val="32"/>
          <w:szCs w:val="32"/>
        </w:rPr>
        <w:t>万元。支出较</w:t>
      </w:r>
      <w:r>
        <w:rPr>
          <w:rFonts w:hint="eastAsia" w:eastAsia="仿宋_GB2312"/>
          <w:sz w:val="32"/>
          <w:szCs w:val="32"/>
          <w:lang w:eastAsia="zh-CN"/>
        </w:rPr>
        <w:t>上年</w:t>
      </w:r>
      <w:r>
        <w:rPr>
          <w:rFonts w:hint="eastAsia" w:eastAsia="仿宋_GB2312"/>
          <w:sz w:val="32"/>
          <w:szCs w:val="32"/>
          <w:lang w:val="en-US" w:eastAsia="zh-CN"/>
        </w:rPr>
        <w:t>减少1403.71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</w:t>
      </w:r>
      <w:r>
        <w:rPr>
          <w:rFonts w:hint="eastAsia" w:eastAsia="仿宋_GB2312"/>
          <w:sz w:val="32"/>
          <w:szCs w:val="32"/>
        </w:rPr>
        <w:t>，其中基本支出</w:t>
      </w:r>
      <w:r>
        <w:rPr>
          <w:rFonts w:hint="eastAsia" w:eastAsia="仿宋_GB2312"/>
          <w:sz w:val="32"/>
          <w:szCs w:val="32"/>
          <w:lang w:val="en-US"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2.42万</w:t>
      </w:r>
      <w:r>
        <w:rPr>
          <w:rFonts w:hint="eastAsia" w:eastAsia="仿宋_GB2312"/>
          <w:sz w:val="32"/>
          <w:szCs w:val="32"/>
        </w:rPr>
        <w:t>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项目支出</w:t>
      </w:r>
      <w:r>
        <w:rPr>
          <w:rFonts w:hint="eastAsia" w:eastAsia="仿宋_GB2312"/>
          <w:sz w:val="32"/>
          <w:szCs w:val="32"/>
          <w:lang w:val="en-US" w:eastAsia="zh-CN"/>
        </w:rPr>
        <w:t>减少1406.13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其中基本支出较上年</w:t>
      </w:r>
      <w:r>
        <w:rPr>
          <w:rFonts w:hint="eastAsia" w:eastAsia="仿宋_GB2312"/>
          <w:sz w:val="32"/>
          <w:szCs w:val="32"/>
          <w:lang w:val="en-US" w:eastAsia="zh-CN"/>
        </w:rPr>
        <w:t>增加</w:t>
      </w:r>
      <w:r>
        <w:rPr>
          <w:rFonts w:hint="eastAsia" w:eastAsia="仿宋_GB2312"/>
          <w:sz w:val="32"/>
          <w:szCs w:val="32"/>
          <w:lang w:eastAsia="zh-CN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因为人员工资基数调整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项目支出</w:t>
      </w:r>
      <w:r>
        <w:rPr>
          <w:rFonts w:hint="eastAsia" w:eastAsia="仿宋_GB2312"/>
          <w:sz w:val="32"/>
          <w:szCs w:val="32"/>
          <w:lang w:val="en-US" w:eastAsia="zh-CN"/>
        </w:rPr>
        <w:t>较上年减少主要是</w:t>
      </w:r>
      <w:r>
        <w:rPr>
          <w:rFonts w:hint="eastAsia" w:eastAsia="仿宋_GB2312"/>
          <w:sz w:val="32"/>
          <w:szCs w:val="32"/>
          <w:lang w:eastAsia="zh-CN"/>
        </w:rPr>
        <w:t>因为</w:t>
      </w:r>
      <w:r>
        <w:rPr>
          <w:rFonts w:hint="eastAsia" w:eastAsia="仿宋_GB2312"/>
          <w:sz w:val="32"/>
          <w:szCs w:val="32"/>
          <w:lang w:val="en-US" w:eastAsia="zh-CN"/>
        </w:rPr>
        <w:t>2023年部门预算中包括了上年结转资金，而本年度上年结转资金为0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330.71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一般公共服务支出167.76万元，占50.73%;</w:t>
      </w:r>
      <w:r>
        <w:rPr>
          <w:rFonts w:hint="eastAsia" w:eastAsia="仿宋_GB2312"/>
          <w:sz w:val="32"/>
          <w:szCs w:val="32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23.35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 xml:space="preserve">占7.06%; </w:t>
      </w:r>
      <w:r>
        <w:rPr>
          <w:rFonts w:hint="eastAsia" w:eastAsia="仿宋_GB2312"/>
          <w:sz w:val="32"/>
          <w:szCs w:val="32"/>
        </w:rPr>
        <w:t>卫生健康支出</w:t>
      </w:r>
      <w:r>
        <w:rPr>
          <w:rFonts w:hint="eastAsia" w:eastAsia="仿宋_GB2312"/>
          <w:sz w:val="32"/>
          <w:szCs w:val="32"/>
          <w:lang w:val="en-US" w:eastAsia="zh-CN"/>
        </w:rPr>
        <w:t>13.05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 xml:space="preserve">占3.95%; 农林水支出83.78万元，占25.33%; </w:t>
      </w:r>
      <w:r>
        <w:rPr>
          <w:rFonts w:hint="eastAsia" w:eastAsia="仿宋_GB2312"/>
          <w:sz w:val="32"/>
          <w:szCs w:val="32"/>
        </w:rPr>
        <w:t>交通运输支出</w:t>
      </w:r>
      <w:r>
        <w:rPr>
          <w:rFonts w:hint="eastAsia" w:eastAsia="仿宋_GB2312"/>
          <w:sz w:val="32"/>
          <w:szCs w:val="32"/>
          <w:lang w:val="en-US" w:eastAsia="zh-CN"/>
        </w:rPr>
        <w:t>26.28</w:t>
      </w:r>
      <w:r>
        <w:rPr>
          <w:rFonts w:hint="eastAsia" w:eastAsia="仿宋_GB2312"/>
          <w:sz w:val="32"/>
          <w:szCs w:val="32"/>
          <w:lang w:eastAsia="zh-CN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占7.95%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</w:rPr>
        <w:t>住房保障支出</w:t>
      </w:r>
      <w:r>
        <w:rPr>
          <w:rFonts w:hint="eastAsia" w:eastAsia="仿宋_GB2312"/>
          <w:sz w:val="32"/>
          <w:szCs w:val="32"/>
          <w:lang w:val="en-US" w:eastAsia="zh-CN"/>
        </w:rPr>
        <w:t>16.49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,占4.98%;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：2024年基本支出年初预算数为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246.93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83.78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/>
          <w:sz w:val="32"/>
          <w:szCs w:val="32"/>
          <w:lang w:val="en-US" w:eastAsia="zh-CN"/>
        </w:rPr>
        <w:t>83.78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农村公路养护与维修</w:t>
      </w:r>
      <w:r>
        <w:rPr>
          <w:rFonts w:hint="eastAsia" w:eastAsia="仿宋_GB2312"/>
          <w:sz w:val="32"/>
          <w:szCs w:val="32"/>
        </w:rPr>
        <w:t>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2024年度本单位无政府性基金安排的支出，所以公开的附件16-18（政府性基金预算）为空。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26.28</w:t>
      </w:r>
      <w:r>
        <w:rPr>
          <w:rFonts w:hint="eastAsia" w:eastAsia="仿宋_GB2312" w:cs="仿宋_GB2312"/>
          <w:kern w:val="0"/>
          <w:sz w:val="32"/>
          <w:szCs w:val="32"/>
        </w:rPr>
        <w:t>万元，比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增加1.20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增加4.78</w:t>
      </w:r>
      <w:r>
        <w:rPr>
          <w:rFonts w:hint="eastAsia" w:eastAsia="仿宋_GB2312" w:cs="仿宋_GB2312"/>
          <w:kern w:val="0"/>
          <w:sz w:val="32"/>
          <w:szCs w:val="32"/>
        </w:rPr>
        <w:t>%。主要原因是</w:t>
      </w:r>
      <w:r>
        <w:rPr>
          <w:rFonts w:hint="eastAsia" w:eastAsia="仿宋_GB2312"/>
          <w:sz w:val="32"/>
          <w:szCs w:val="32"/>
          <w:lang w:val="en-US" w:eastAsia="zh-CN"/>
        </w:rPr>
        <w:t>因为2023年部门预算中包括了上年结转资金，而本年度上年结转资金为0。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2.00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2.00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其中公务用车购置费0万元，公务用车运行费0万元。与上年持平，主要原因是按上级文件要求严控三公经费开支。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本单位2024年培训费预算0万元，拟开展0次培训，人数0人，内容无；2024年会议费预算0.5万元，拟开展2次会议，人数50人，内容为农村公路养护维护与管理专提会议。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2024年度本单位未安排政府采购预算。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2024年度本单位未计划处置或新增车辆、设备等。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2024年单位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330.71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246.93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83.78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表22-23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岳阳县农村公路养护中心单位预算公开表格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1FCA2A-25CF-46B7-8622-E9FD217B26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70BE110-A0D0-4E51-AC19-9AE466072A9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F7B276C-D1DB-42EA-91CF-6EA14B7F762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24F8FCD-83F7-4D09-8DDA-DABC512DC62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D487C41-FC64-4D9E-B449-B267F01959E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DBD3BC09-DC8B-42AD-852F-149070458A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MDU0NmQwMTBkNjg1NjNhMTU0MTU2MzBkYjk2MjQifQ=="/>
    <w:docVar w:name="KSO_WPS_MARK_KEY" w:val="13391c42-73fc-4168-92e0-5080c6c6da49"/>
  </w:docVars>
  <w:rsids>
    <w:rsidRoot w:val="00CA5057"/>
    <w:rsid w:val="00001697"/>
    <w:rsid w:val="000034D6"/>
    <w:rsid w:val="0006270B"/>
    <w:rsid w:val="00065DA2"/>
    <w:rsid w:val="00117900"/>
    <w:rsid w:val="001336FC"/>
    <w:rsid w:val="00144F71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2600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833867"/>
    <w:rsid w:val="02DF562C"/>
    <w:rsid w:val="032D48E5"/>
    <w:rsid w:val="037A38F5"/>
    <w:rsid w:val="039837D0"/>
    <w:rsid w:val="042F62B6"/>
    <w:rsid w:val="04335DA6"/>
    <w:rsid w:val="04497920"/>
    <w:rsid w:val="045745B9"/>
    <w:rsid w:val="069419C6"/>
    <w:rsid w:val="06A524F3"/>
    <w:rsid w:val="070C65B9"/>
    <w:rsid w:val="08281851"/>
    <w:rsid w:val="09327787"/>
    <w:rsid w:val="0A5B2FD2"/>
    <w:rsid w:val="0A7745ED"/>
    <w:rsid w:val="0A937E69"/>
    <w:rsid w:val="0AF15A72"/>
    <w:rsid w:val="0B5C0021"/>
    <w:rsid w:val="0C0C6008"/>
    <w:rsid w:val="0C4F7AFC"/>
    <w:rsid w:val="0C8F1426"/>
    <w:rsid w:val="0D5B6622"/>
    <w:rsid w:val="0D8970B2"/>
    <w:rsid w:val="0E064421"/>
    <w:rsid w:val="0EB846B3"/>
    <w:rsid w:val="0ED234CD"/>
    <w:rsid w:val="0F654CC7"/>
    <w:rsid w:val="0F9E0A26"/>
    <w:rsid w:val="0FC153E7"/>
    <w:rsid w:val="0FF13EE2"/>
    <w:rsid w:val="10DC126C"/>
    <w:rsid w:val="110D0805"/>
    <w:rsid w:val="12041C48"/>
    <w:rsid w:val="1231570E"/>
    <w:rsid w:val="13AA3D44"/>
    <w:rsid w:val="152539A7"/>
    <w:rsid w:val="15481394"/>
    <w:rsid w:val="159D6FEE"/>
    <w:rsid w:val="15A176F0"/>
    <w:rsid w:val="15D8652F"/>
    <w:rsid w:val="15D9563A"/>
    <w:rsid w:val="165A3D1F"/>
    <w:rsid w:val="170D092F"/>
    <w:rsid w:val="1740285C"/>
    <w:rsid w:val="177E15D6"/>
    <w:rsid w:val="181810E3"/>
    <w:rsid w:val="183439D8"/>
    <w:rsid w:val="18B870FF"/>
    <w:rsid w:val="19420C90"/>
    <w:rsid w:val="19AA220F"/>
    <w:rsid w:val="19D5374E"/>
    <w:rsid w:val="1A0E0437"/>
    <w:rsid w:val="1A4D6694"/>
    <w:rsid w:val="1AA76E81"/>
    <w:rsid w:val="1AC31CB7"/>
    <w:rsid w:val="1B952161"/>
    <w:rsid w:val="1BEF6124"/>
    <w:rsid w:val="1D4A2441"/>
    <w:rsid w:val="1E396C13"/>
    <w:rsid w:val="1E5C3488"/>
    <w:rsid w:val="1F1F1226"/>
    <w:rsid w:val="1FA12E5F"/>
    <w:rsid w:val="21F117A1"/>
    <w:rsid w:val="22360C7D"/>
    <w:rsid w:val="239A2DAC"/>
    <w:rsid w:val="245B26B7"/>
    <w:rsid w:val="26570D53"/>
    <w:rsid w:val="26BF7FE0"/>
    <w:rsid w:val="27D848B8"/>
    <w:rsid w:val="27F63E42"/>
    <w:rsid w:val="288E4764"/>
    <w:rsid w:val="291A4DB7"/>
    <w:rsid w:val="29CE3120"/>
    <w:rsid w:val="2A3228A6"/>
    <w:rsid w:val="2B4B2271"/>
    <w:rsid w:val="2BEF737C"/>
    <w:rsid w:val="2CDB483B"/>
    <w:rsid w:val="2DD10887"/>
    <w:rsid w:val="2E833D5E"/>
    <w:rsid w:val="2ECD0C4F"/>
    <w:rsid w:val="2FC40521"/>
    <w:rsid w:val="307C0333"/>
    <w:rsid w:val="31472D15"/>
    <w:rsid w:val="315B0489"/>
    <w:rsid w:val="319B3EAD"/>
    <w:rsid w:val="32F04F21"/>
    <w:rsid w:val="33C30645"/>
    <w:rsid w:val="3405688C"/>
    <w:rsid w:val="343835A7"/>
    <w:rsid w:val="34B606AB"/>
    <w:rsid w:val="34CD5080"/>
    <w:rsid w:val="34E11E02"/>
    <w:rsid w:val="35085527"/>
    <w:rsid w:val="35F320DE"/>
    <w:rsid w:val="3605661F"/>
    <w:rsid w:val="367E56C3"/>
    <w:rsid w:val="36E86D36"/>
    <w:rsid w:val="388764A3"/>
    <w:rsid w:val="392E5591"/>
    <w:rsid w:val="39320108"/>
    <w:rsid w:val="397D6545"/>
    <w:rsid w:val="3AD735EE"/>
    <w:rsid w:val="3BC82B6A"/>
    <w:rsid w:val="3C00232F"/>
    <w:rsid w:val="3DEE3AD2"/>
    <w:rsid w:val="3E4D3BDD"/>
    <w:rsid w:val="3E813CBF"/>
    <w:rsid w:val="3F7927D8"/>
    <w:rsid w:val="3FD82349"/>
    <w:rsid w:val="40512B35"/>
    <w:rsid w:val="41DA7DB9"/>
    <w:rsid w:val="433A4E85"/>
    <w:rsid w:val="447637E8"/>
    <w:rsid w:val="45BE60A3"/>
    <w:rsid w:val="462F0AB9"/>
    <w:rsid w:val="46334724"/>
    <w:rsid w:val="46402033"/>
    <w:rsid w:val="46F340C9"/>
    <w:rsid w:val="46F84687"/>
    <w:rsid w:val="48BE1AC7"/>
    <w:rsid w:val="49CE7803"/>
    <w:rsid w:val="49EF4858"/>
    <w:rsid w:val="4AD67CC5"/>
    <w:rsid w:val="4AE9742D"/>
    <w:rsid w:val="4BA67C06"/>
    <w:rsid w:val="4C064739"/>
    <w:rsid w:val="4C99538D"/>
    <w:rsid w:val="4CA46ED7"/>
    <w:rsid w:val="4D013E21"/>
    <w:rsid w:val="4D815539"/>
    <w:rsid w:val="4D8D7228"/>
    <w:rsid w:val="4DDD2C7F"/>
    <w:rsid w:val="4E147F73"/>
    <w:rsid w:val="4EA931BA"/>
    <w:rsid w:val="4F1826FF"/>
    <w:rsid w:val="4FCD194B"/>
    <w:rsid w:val="506C2AB0"/>
    <w:rsid w:val="51B5641E"/>
    <w:rsid w:val="51CB3A8E"/>
    <w:rsid w:val="524456CC"/>
    <w:rsid w:val="53344C63"/>
    <w:rsid w:val="54070E12"/>
    <w:rsid w:val="5437467A"/>
    <w:rsid w:val="54604425"/>
    <w:rsid w:val="54F478A3"/>
    <w:rsid w:val="55295806"/>
    <w:rsid w:val="55D3446A"/>
    <w:rsid w:val="56EC2D7B"/>
    <w:rsid w:val="577E6096"/>
    <w:rsid w:val="58F114E4"/>
    <w:rsid w:val="593F63D3"/>
    <w:rsid w:val="59543B83"/>
    <w:rsid w:val="5B423ECD"/>
    <w:rsid w:val="5BAD6A24"/>
    <w:rsid w:val="5BAE6D9A"/>
    <w:rsid w:val="5C166E0B"/>
    <w:rsid w:val="5C781AC0"/>
    <w:rsid w:val="5CDA4DA9"/>
    <w:rsid w:val="5D466B0F"/>
    <w:rsid w:val="5DFE3EA4"/>
    <w:rsid w:val="5E616F58"/>
    <w:rsid w:val="5E8D6448"/>
    <w:rsid w:val="5F09470F"/>
    <w:rsid w:val="5F427DC1"/>
    <w:rsid w:val="60A03DAA"/>
    <w:rsid w:val="61F50CD8"/>
    <w:rsid w:val="62820F98"/>
    <w:rsid w:val="63376618"/>
    <w:rsid w:val="635051A2"/>
    <w:rsid w:val="63D50DEA"/>
    <w:rsid w:val="64035B71"/>
    <w:rsid w:val="64A96679"/>
    <w:rsid w:val="64B7416B"/>
    <w:rsid w:val="64DB31B9"/>
    <w:rsid w:val="655B1EF0"/>
    <w:rsid w:val="65C24764"/>
    <w:rsid w:val="66571397"/>
    <w:rsid w:val="66DB7679"/>
    <w:rsid w:val="681842B0"/>
    <w:rsid w:val="688B12C0"/>
    <w:rsid w:val="689E66A8"/>
    <w:rsid w:val="690F0837"/>
    <w:rsid w:val="699D6C67"/>
    <w:rsid w:val="6AE87D9C"/>
    <w:rsid w:val="6D0B588B"/>
    <w:rsid w:val="6D6B5DC9"/>
    <w:rsid w:val="6D8F7B5D"/>
    <w:rsid w:val="6E330464"/>
    <w:rsid w:val="6F615109"/>
    <w:rsid w:val="6F8561D3"/>
    <w:rsid w:val="6F864A2F"/>
    <w:rsid w:val="70271B5B"/>
    <w:rsid w:val="70593041"/>
    <w:rsid w:val="71AC0C24"/>
    <w:rsid w:val="72C54414"/>
    <w:rsid w:val="735D3DDD"/>
    <w:rsid w:val="73C80877"/>
    <w:rsid w:val="73FB2961"/>
    <w:rsid w:val="75344BFC"/>
    <w:rsid w:val="7547419D"/>
    <w:rsid w:val="75BC5CA5"/>
    <w:rsid w:val="76286F0E"/>
    <w:rsid w:val="762B56CB"/>
    <w:rsid w:val="762F42F2"/>
    <w:rsid w:val="76411329"/>
    <w:rsid w:val="772C3158"/>
    <w:rsid w:val="773C67F0"/>
    <w:rsid w:val="77735E63"/>
    <w:rsid w:val="77C3648D"/>
    <w:rsid w:val="77E33076"/>
    <w:rsid w:val="789A2290"/>
    <w:rsid w:val="790C5C8A"/>
    <w:rsid w:val="79C540F9"/>
    <w:rsid w:val="7A9C0498"/>
    <w:rsid w:val="7B364EF8"/>
    <w:rsid w:val="7B964679"/>
    <w:rsid w:val="7DFA5EB0"/>
    <w:rsid w:val="7E3E736E"/>
    <w:rsid w:val="7EFE5E07"/>
    <w:rsid w:val="7FF74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7</Pages>
  <Words>2618</Words>
  <Characters>2882</Characters>
  <Lines>38</Lines>
  <Paragraphs>10</Paragraphs>
  <TotalTime>11</TotalTime>
  <ScaleCrop>false</ScaleCrop>
  <LinksUpToDate>false</LinksUpToDate>
  <CharactersWithSpaces>2906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2024-03-21T02:09:05Z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5E8BD144427B4992B6AB84D4B376F7F3</vt:lpwstr>
  </property>
</Properties>
</file>